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B5213" w14:textId="401A1938" w:rsidR="00BA7FF1" w:rsidRDefault="008549F5" w:rsidP="40362461">
      <w:pPr>
        <w:jc w:val="right"/>
        <w:rPr>
          <w:b/>
          <w:lang w:val="en-US"/>
        </w:rPr>
      </w:pPr>
      <w:r w:rsidRPr="1A1A5CF0">
        <w:rPr>
          <w:b/>
          <w:lang w:val="en-US"/>
        </w:rPr>
        <w:t>RF</w:t>
      </w:r>
      <w:r w:rsidR="25D432CC" w:rsidRPr="1A1A5CF0">
        <w:rPr>
          <w:b/>
          <w:lang w:val="en-US"/>
        </w:rPr>
        <w:t>S</w:t>
      </w:r>
      <w:r w:rsidRPr="1A1A5CF0">
        <w:rPr>
          <w:b/>
          <w:lang w:val="en-US"/>
        </w:rPr>
        <w:t xml:space="preserve"> 2</w:t>
      </w:r>
      <w:r w:rsidR="561660F7" w:rsidRPr="1A1A5CF0">
        <w:rPr>
          <w:b/>
          <w:lang w:val="en-US"/>
        </w:rPr>
        <w:t>5-80876</w:t>
      </w:r>
    </w:p>
    <w:p w14:paraId="232B5214" w14:textId="77777777" w:rsidR="00BA7FF1" w:rsidRDefault="008549F5">
      <w:pPr>
        <w:jc w:val="right"/>
        <w:rPr>
          <w:b/>
        </w:rPr>
      </w:pPr>
      <w:r>
        <w:rPr>
          <w:b/>
        </w:rPr>
        <w:t xml:space="preserve">Regional Recovery Hubs </w:t>
      </w:r>
    </w:p>
    <w:p w14:paraId="232B5215" w14:textId="1104A5EC" w:rsidR="00BA7FF1" w:rsidRDefault="008549F5">
      <w:pPr>
        <w:jc w:val="right"/>
        <w:rPr>
          <w:b/>
        </w:rPr>
      </w:pPr>
      <w:r>
        <w:rPr>
          <w:b/>
        </w:rPr>
        <w:t xml:space="preserve">Attachment </w:t>
      </w:r>
      <w:r w:rsidR="00445520">
        <w:rPr>
          <w:b/>
        </w:rPr>
        <w:t>A</w:t>
      </w:r>
      <w:r>
        <w:rPr>
          <w:b/>
        </w:rPr>
        <w:t xml:space="preserve"> – Scope of Work</w:t>
      </w:r>
    </w:p>
    <w:p w14:paraId="232B5216" w14:textId="77777777" w:rsidR="00BA7FF1" w:rsidRDefault="00BA7FF1"/>
    <w:p w14:paraId="232B5217" w14:textId="77777777" w:rsidR="00BA7FF1" w:rsidRDefault="008549F5">
      <w:pPr>
        <w:jc w:val="center"/>
        <w:rPr>
          <w:u w:val="single"/>
        </w:rPr>
      </w:pPr>
      <w:r>
        <w:rPr>
          <w:u w:val="single"/>
        </w:rPr>
        <w:t>Regional Recovery Hubs Scope of Work</w:t>
      </w:r>
    </w:p>
    <w:p w14:paraId="232B5218" w14:textId="77777777" w:rsidR="00BA7FF1" w:rsidRDefault="00BA7FF1"/>
    <w:p w14:paraId="232B5219" w14:textId="77777777" w:rsidR="00BA7FF1" w:rsidRDefault="008549F5">
      <w:pPr>
        <w:numPr>
          <w:ilvl w:val="0"/>
          <w:numId w:val="4"/>
        </w:numPr>
        <w:rPr>
          <w:b/>
        </w:rPr>
      </w:pPr>
      <w:r>
        <w:rPr>
          <w:b/>
        </w:rPr>
        <w:t>Definitions</w:t>
      </w:r>
    </w:p>
    <w:p w14:paraId="232B521D" w14:textId="7B14C1FC" w:rsidR="00BA7FF1" w:rsidRDefault="008549F5">
      <w:pPr>
        <w:numPr>
          <w:ilvl w:val="1"/>
          <w:numId w:val="4"/>
        </w:numPr>
        <w:rPr>
          <w:lang w:val="en-US"/>
        </w:rPr>
      </w:pPr>
      <w:r w:rsidRPr="40362461">
        <w:rPr>
          <w:b/>
          <w:bCs/>
        </w:rPr>
        <w:t xml:space="preserve">Contract </w:t>
      </w:r>
      <w:r>
        <w:t xml:space="preserve">- The contract between the State and Contractor resulting from this </w:t>
      </w:r>
      <w:r w:rsidR="1B3830F5">
        <w:t>RFS</w:t>
      </w:r>
      <w:r>
        <w:t>.</w:t>
      </w:r>
    </w:p>
    <w:p w14:paraId="232B521E" w14:textId="43A59DFA" w:rsidR="00BA7FF1" w:rsidRDefault="008549F5">
      <w:pPr>
        <w:numPr>
          <w:ilvl w:val="1"/>
          <w:numId w:val="4"/>
        </w:numPr>
      </w:pPr>
      <w:r w:rsidRPr="40362461">
        <w:rPr>
          <w:b/>
          <w:bCs/>
          <w:lang w:val="en-US"/>
        </w:rPr>
        <w:t xml:space="preserve">Contractor </w:t>
      </w:r>
      <w:r w:rsidRPr="40362461">
        <w:rPr>
          <w:lang w:val="en-US"/>
        </w:rPr>
        <w:t xml:space="preserve">- The Respondent selected as the winning vendor for a select region as a result of this </w:t>
      </w:r>
      <w:r w:rsidR="1B3830F5" w:rsidRPr="40362461">
        <w:rPr>
          <w:lang w:val="en-US"/>
        </w:rPr>
        <w:t>RFS</w:t>
      </w:r>
      <w:r w:rsidRPr="40362461">
        <w:rPr>
          <w:lang w:val="en-US"/>
        </w:rPr>
        <w:t xml:space="preserve"> and, any and all, subcontractors to that vendor.</w:t>
      </w:r>
    </w:p>
    <w:p w14:paraId="232B521F" w14:textId="77777777" w:rsidR="00BA7FF1" w:rsidRDefault="008549F5">
      <w:pPr>
        <w:numPr>
          <w:ilvl w:val="1"/>
          <w:numId w:val="4"/>
        </w:numPr>
      </w:pPr>
      <w:r>
        <w:rPr>
          <w:b/>
        </w:rPr>
        <w:t>DMHA</w:t>
      </w:r>
      <w:r>
        <w:t xml:space="preserve"> - Division of Mental Health and Addiction.</w:t>
      </w:r>
    </w:p>
    <w:p w14:paraId="232B5220" w14:textId="77777777" w:rsidR="00BA7FF1" w:rsidRDefault="008549F5">
      <w:pPr>
        <w:numPr>
          <w:ilvl w:val="1"/>
          <w:numId w:val="4"/>
        </w:numPr>
      </w:pPr>
      <w:r>
        <w:rPr>
          <w:b/>
        </w:rPr>
        <w:t>DEBS -</w:t>
      </w:r>
      <w:r>
        <w:t xml:space="preserve"> DMHA Electronic Billing System.</w:t>
      </w:r>
    </w:p>
    <w:p w14:paraId="232B5221" w14:textId="77777777" w:rsidR="00BA7FF1" w:rsidRDefault="008549F5">
      <w:pPr>
        <w:numPr>
          <w:ilvl w:val="1"/>
          <w:numId w:val="4"/>
        </w:numPr>
      </w:pPr>
      <w:r>
        <w:rPr>
          <w:b/>
        </w:rPr>
        <w:t>GPRA</w:t>
      </w:r>
      <w:r>
        <w:t xml:space="preserve"> - Government Performance and Results Act.</w:t>
      </w:r>
    </w:p>
    <w:p w14:paraId="232B5223" w14:textId="7C4B9719" w:rsidR="00BA7FF1" w:rsidRDefault="008549F5">
      <w:pPr>
        <w:numPr>
          <w:ilvl w:val="1"/>
          <w:numId w:val="4"/>
        </w:numPr>
      </w:pPr>
      <w:r>
        <w:rPr>
          <w:b/>
        </w:rPr>
        <w:t>IDOC</w:t>
      </w:r>
      <w:r>
        <w:t xml:space="preserve"> - Indiana Department of Corrections.</w:t>
      </w:r>
    </w:p>
    <w:p w14:paraId="25D1C513" w14:textId="1311AD45" w:rsidR="571966D9" w:rsidRDefault="571966D9" w:rsidP="1A1A5CF0">
      <w:pPr>
        <w:numPr>
          <w:ilvl w:val="1"/>
          <w:numId w:val="4"/>
        </w:numPr>
      </w:pPr>
      <w:r w:rsidRPr="443CD939">
        <w:rPr>
          <w:b/>
          <w:bCs/>
        </w:rPr>
        <w:t>IRAC</w:t>
      </w:r>
      <w:r>
        <w:t xml:space="preserve"> - Integrated Reentry and Correctional Support</w:t>
      </w:r>
      <w:r w:rsidR="69B44E2F">
        <w:t>.</w:t>
      </w:r>
    </w:p>
    <w:p w14:paraId="232B5224" w14:textId="77777777" w:rsidR="00BA7FF1" w:rsidRDefault="008549F5">
      <w:pPr>
        <w:numPr>
          <w:ilvl w:val="1"/>
          <w:numId w:val="4"/>
        </w:numPr>
      </w:pPr>
      <w:r>
        <w:rPr>
          <w:b/>
        </w:rPr>
        <w:t>Medicated Assisted Recovery</w:t>
      </w:r>
      <w:r>
        <w:t xml:space="preserve"> - A treatment approach for individuals with substance use disorders that integrates the use of FDA-approved medications with comprehensive behavioral health therapies and support services. </w:t>
      </w:r>
    </w:p>
    <w:p w14:paraId="232B5226" w14:textId="683C5EF5" w:rsidR="00BA7FF1" w:rsidRDefault="008549F5">
      <w:pPr>
        <w:numPr>
          <w:ilvl w:val="1"/>
          <w:numId w:val="4"/>
        </w:numPr>
      </w:pPr>
      <w:r>
        <w:rPr>
          <w:b/>
        </w:rPr>
        <w:t>Opioid Treatment Program</w:t>
      </w:r>
      <w:r>
        <w:t xml:space="preserve"> - A specialized facility that provides comprehensive treatment services for individuals with opioid use disorder</w:t>
      </w:r>
    </w:p>
    <w:p w14:paraId="232B5227" w14:textId="456F08A9" w:rsidR="00BA7FF1" w:rsidRDefault="008549F5">
      <w:pPr>
        <w:numPr>
          <w:ilvl w:val="1"/>
          <w:numId w:val="4"/>
        </w:numPr>
      </w:pPr>
      <w:proofErr w:type="spellStart"/>
      <w:r w:rsidRPr="7948C4C5">
        <w:rPr>
          <w:b/>
          <w:bCs/>
          <w:lang w:val="en-US"/>
        </w:rPr>
        <w:t>RecoveryLink</w:t>
      </w:r>
      <w:proofErr w:type="spellEnd"/>
      <w:r w:rsidRPr="7948C4C5">
        <w:rPr>
          <w:b/>
          <w:bCs/>
          <w:lang w:val="en-US"/>
        </w:rPr>
        <w:t xml:space="preserve"> </w:t>
      </w:r>
      <w:r w:rsidRPr="7948C4C5">
        <w:rPr>
          <w:lang w:val="en-US"/>
        </w:rPr>
        <w:t>- An online dashboard service that Hubs utilize to connect individuals with peer support.</w:t>
      </w:r>
    </w:p>
    <w:p w14:paraId="232B5228" w14:textId="3BE52A11" w:rsidR="00BA7FF1" w:rsidRDefault="008549F5">
      <w:pPr>
        <w:numPr>
          <w:ilvl w:val="1"/>
          <w:numId w:val="4"/>
        </w:numPr>
        <w:rPr>
          <w:lang w:val="en-US"/>
        </w:rPr>
      </w:pPr>
      <w:r w:rsidRPr="7948C4C5">
        <w:rPr>
          <w:b/>
          <w:bCs/>
          <w:lang w:val="en-US"/>
        </w:rPr>
        <w:t>Recovery Community Organization or “RCO”-</w:t>
      </w:r>
      <w:r w:rsidRPr="1A1A5CF0">
        <w:rPr>
          <w:b/>
          <w:lang w:val="en-US"/>
        </w:rPr>
        <w:t xml:space="preserve"> </w:t>
      </w:r>
      <w:r w:rsidRPr="7948C4C5">
        <w:rPr>
          <w:lang w:val="en-US"/>
        </w:rPr>
        <w:t>An independent, non-profit organization providing a variety of activities available to all community members recovering from substance use, not restricted to individuals enrolled in a specific educational, treatment, or residential program. Not all RCOs are currently designated as a Regional Recovery Hub, though many provide referral services to Hubs.</w:t>
      </w:r>
    </w:p>
    <w:p w14:paraId="232B5229" w14:textId="67DC4D9F" w:rsidR="00BA7FF1" w:rsidRDefault="35EC6296" w:rsidP="40362461">
      <w:pPr>
        <w:numPr>
          <w:ilvl w:val="1"/>
          <w:numId w:val="4"/>
        </w:numPr>
        <w:rPr>
          <w:lang w:val="en-US"/>
        </w:rPr>
      </w:pPr>
      <w:r w:rsidRPr="40362461">
        <w:rPr>
          <w:b/>
          <w:bCs/>
          <w:lang w:val="en-US"/>
        </w:rPr>
        <w:t>Participant</w:t>
      </w:r>
      <w:r w:rsidR="008549F5" w:rsidRPr="40362461">
        <w:rPr>
          <w:lang w:val="en-US"/>
        </w:rPr>
        <w:t xml:space="preserve">- An individual who is receiving peer </w:t>
      </w:r>
      <w:r w:rsidR="277243E4" w:rsidRPr="443CD939">
        <w:rPr>
          <w:lang w:val="en-US"/>
        </w:rPr>
        <w:t>support</w:t>
      </w:r>
      <w:r w:rsidR="008549F5" w:rsidRPr="40362461">
        <w:rPr>
          <w:lang w:val="en-US"/>
        </w:rPr>
        <w:t xml:space="preserve"> services.</w:t>
      </w:r>
    </w:p>
    <w:p w14:paraId="232B522A" w14:textId="77777777" w:rsidR="00BA7FF1" w:rsidRDefault="008549F5">
      <w:pPr>
        <w:numPr>
          <w:ilvl w:val="1"/>
          <w:numId w:val="4"/>
        </w:numPr>
      </w:pPr>
      <w:r>
        <w:rPr>
          <w:b/>
        </w:rPr>
        <w:t xml:space="preserve">Regional Recovery Hub or “Hub” </w:t>
      </w:r>
      <w:r>
        <w:t>- An organization that provides comprehensive recovery support services to individuals affected by substance use disorders within a specific region of the State. The winning Contractors will serve as the Hub for a region.</w:t>
      </w:r>
    </w:p>
    <w:p w14:paraId="232B522B" w14:textId="50F8ED4D" w:rsidR="00BA7FF1" w:rsidRDefault="008549F5">
      <w:pPr>
        <w:numPr>
          <w:ilvl w:val="1"/>
          <w:numId w:val="4"/>
        </w:numPr>
      </w:pPr>
      <w:r w:rsidRPr="40362461">
        <w:rPr>
          <w:b/>
          <w:bCs/>
          <w:lang w:val="en-US"/>
        </w:rPr>
        <w:t>Respondent</w:t>
      </w:r>
      <w:r w:rsidRPr="40362461">
        <w:rPr>
          <w:lang w:val="en-US"/>
        </w:rPr>
        <w:t xml:space="preserve"> - The entity that submits a proposal in response to this </w:t>
      </w:r>
      <w:r w:rsidR="1B3830F5" w:rsidRPr="40362461">
        <w:rPr>
          <w:lang w:val="en-US"/>
        </w:rPr>
        <w:t>RFS</w:t>
      </w:r>
      <w:r w:rsidRPr="40362461">
        <w:rPr>
          <w:lang w:val="en-US"/>
        </w:rPr>
        <w:t>.</w:t>
      </w:r>
    </w:p>
    <w:p w14:paraId="232B522C" w14:textId="77777777" w:rsidR="00BA7FF1" w:rsidRDefault="008549F5">
      <w:pPr>
        <w:numPr>
          <w:ilvl w:val="1"/>
          <w:numId w:val="4"/>
        </w:numPr>
      </w:pPr>
      <w:r>
        <w:rPr>
          <w:b/>
        </w:rPr>
        <w:t xml:space="preserve">State </w:t>
      </w:r>
      <w:r>
        <w:t>- The State of Indiana and its agencies.</w:t>
      </w:r>
    </w:p>
    <w:p w14:paraId="232B522D" w14:textId="77777777" w:rsidR="00BA7FF1" w:rsidRDefault="00BA7FF1">
      <w:pPr>
        <w:ind w:left="1440"/>
      </w:pPr>
    </w:p>
    <w:p w14:paraId="232B522E" w14:textId="77777777" w:rsidR="00BA7FF1" w:rsidRDefault="00BA7FF1"/>
    <w:p w14:paraId="232B522F" w14:textId="77777777" w:rsidR="00BA7FF1" w:rsidRDefault="008549F5">
      <w:pPr>
        <w:numPr>
          <w:ilvl w:val="0"/>
          <w:numId w:val="4"/>
        </w:numPr>
        <w:rPr>
          <w:b/>
        </w:rPr>
      </w:pPr>
      <w:r>
        <w:rPr>
          <w:b/>
        </w:rPr>
        <w:t>Introduction and Regional Recovery Hubs Overview</w:t>
      </w:r>
    </w:p>
    <w:p w14:paraId="232B5230" w14:textId="77777777" w:rsidR="00BA7FF1" w:rsidRDefault="008549F5">
      <w:pPr>
        <w:numPr>
          <w:ilvl w:val="1"/>
          <w:numId w:val="4"/>
        </w:numPr>
      </w:pPr>
      <w:r>
        <w:rPr>
          <w:i/>
        </w:rPr>
        <w:t xml:space="preserve">Description of Indiana’s Regional Recovery Hubs </w:t>
      </w:r>
    </w:p>
    <w:p w14:paraId="232B5231" w14:textId="4F3DE19F" w:rsidR="00BA7FF1" w:rsidRDefault="008549F5">
      <w:pPr>
        <w:ind w:left="1440" w:firstLine="720"/>
        <w:rPr>
          <w:lang w:val="en-US"/>
        </w:rPr>
      </w:pPr>
      <w:r w:rsidRPr="7948C4C5">
        <w:rPr>
          <w:lang w:val="en-US"/>
        </w:rPr>
        <w:t xml:space="preserve">In Indiana, there are 20 Regional Recovery Hub sites (“Hubs”) that are critical to the State's efforts to provide barrier-free access to mental health, substance use </w:t>
      </w:r>
      <w:r w:rsidR="4D6347C4" w:rsidRPr="443CD939">
        <w:rPr>
          <w:lang w:val="en-US"/>
        </w:rPr>
        <w:t>recovery</w:t>
      </w:r>
      <w:r w:rsidRPr="7948C4C5">
        <w:rPr>
          <w:lang w:val="en-US"/>
        </w:rPr>
        <w:t xml:space="preserve"> and family support resources. Hubs serve as central points of access for individuals seeking recovery support services in all 92 </w:t>
      </w:r>
      <w:r w:rsidRPr="7948C4C5">
        <w:rPr>
          <w:lang w:val="en-US"/>
        </w:rPr>
        <w:lastRenderedPageBreak/>
        <w:t xml:space="preserve">counties and are individually assigned a designated region of counties. Hubs provide vital services to Hoosiers by providing peer </w:t>
      </w:r>
      <w:r w:rsidR="7351254D" w:rsidRPr="443CD939">
        <w:rPr>
          <w:lang w:val="en-US"/>
        </w:rPr>
        <w:t>support</w:t>
      </w:r>
      <w:r w:rsidRPr="7948C4C5">
        <w:rPr>
          <w:lang w:val="en-US"/>
        </w:rPr>
        <w:t xml:space="preserve"> services, conducting ongoing outreach to community members and key stakeholders, participating in community meetings and events, and providing linkages to </w:t>
      </w:r>
      <w:r w:rsidR="655BE3F0" w:rsidRPr="443CD939">
        <w:rPr>
          <w:lang w:val="en-US"/>
        </w:rPr>
        <w:t>care</w:t>
      </w:r>
      <w:r w:rsidRPr="7948C4C5">
        <w:rPr>
          <w:lang w:val="en-US"/>
        </w:rPr>
        <w:t xml:space="preserve"> and person-centered</w:t>
      </w:r>
      <w:r w:rsidR="56A97EE9" w:rsidRPr="443CD939">
        <w:rPr>
          <w:lang w:val="en-US"/>
        </w:rPr>
        <w:t xml:space="preserve"> </w:t>
      </w:r>
      <w:r w:rsidRPr="443CD939">
        <w:rPr>
          <w:lang w:val="en-US"/>
        </w:rPr>
        <w:t>resources</w:t>
      </w:r>
      <w:r w:rsidRPr="7948C4C5">
        <w:rPr>
          <w:lang w:val="en-US"/>
        </w:rPr>
        <w:t>.</w:t>
      </w:r>
    </w:p>
    <w:p w14:paraId="232B5232" w14:textId="0F58AEFE" w:rsidR="00BA7FF1" w:rsidRDefault="008549F5">
      <w:pPr>
        <w:ind w:left="1440" w:firstLine="720"/>
        <w:rPr>
          <w:lang w:val="en-US"/>
        </w:rPr>
      </w:pPr>
      <w:r w:rsidRPr="443CD939">
        <w:rPr>
          <w:lang w:val="en-US"/>
        </w:rPr>
        <w:t xml:space="preserve">Hubs provide peer </w:t>
      </w:r>
      <w:r w:rsidR="4676F193" w:rsidRPr="443CD939">
        <w:rPr>
          <w:lang w:val="en-US"/>
        </w:rPr>
        <w:t>support</w:t>
      </w:r>
      <w:r w:rsidRPr="443CD939">
        <w:rPr>
          <w:lang w:val="en-US"/>
        </w:rPr>
        <w:t xml:space="preserve"> services through the employment of </w:t>
      </w:r>
      <w:r w:rsidR="41E8D5E5" w:rsidRPr="443CD939">
        <w:rPr>
          <w:lang w:val="en-US"/>
        </w:rPr>
        <w:t>certified peers.</w:t>
      </w:r>
      <w:r w:rsidRPr="443CD939">
        <w:rPr>
          <w:lang w:val="en-US"/>
        </w:rPr>
        <w:t xml:space="preserve"> Individuals serving in these roles have lived experience with mental health or substance use </w:t>
      </w:r>
      <w:r w:rsidR="2B4AF140" w:rsidRPr="443CD939">
        <w:rPr>
          <w:lang w:val="en-US"/>
        </w:rPr>
        <w:t>disorder</w:t>
      </w:r>
      <w:r w:rsidR="787A8996" w:rsidRPr="443CD939">
        <w:rPr>
          <w:lang w:val="en-US"/>
        </w:rPr>
        <w:t>,</w:t>
      </w:r>
      <w:r w:rsidRPr="443CD939">
        <w:rPr>
          <w:lang w:val="en-US"/>
        </w:rPr>
        <w:t xml:space="preserve"> provide one-on-one support, </w:t>
      </w:r>
      <w:r w:rsidR="78A2F17D" w:rsidRPr="443CD939">
        <w:rPr>
          <w:lang w:val="en-US"/>
        </w:rPr>
        <w:t>and</w:t>
      </w:r>
      <w:r w:rsidRPr="443CD939">
        <w:rPr>
          <w:lang w:val="en-US"/>
        </w:rPr>
        <w:t xml:space="preserve"> lead support groups</w:t>
      </w:r>
      <w:r w:rsidR="7486D508" w:rsidRPr="443CD939">
        <w:rPr>
          <w:lang w:val="en-US"/>
        </w:rPr>
        <w:t>.</w:t>
      </w:r>
    </w:p>
    <w:p w14:paraId="232B5233" w14:textId="77777777" w:rsidR="00BA7FF1" w:rsidRDefault="008549F5">
      <w:pPr>
        <w:ind w:left="1440" w:firstLine="720"/>
      </w:pPr>
      <w:r w:rsidRPr="7948C4C5">
        <w:rPr>
          <w:lang w:val="en-US"/>
        </w:rPr>
        <w:t>In addition to peer support, Hubs also offer a variety of other family support services and resources. This includes assistance with finding housing,</w:t>
      </w:r>
    </w:p>
    <w:p w14:paraId="232B5234" w14:textId="5F72A47C" w:rsidR="00BA7FF1" w:rsidRDefault="008549F5">
      <w:pPr>
        <w:ind w:left="1440"/>
      </w:pPr>
      <w:r w:rsidRPr="7948C4C5">
        <w:rPr>
          <w:lang w:val="en-US"/>
        </w:rPr>
        <w:t xml:space="preserve">community resources, and support groups. When a need is established, Hubs will work closely with other local service providers and agencies to ensure that individuals receive </w:t>
      </w:r>
      <w:r w:rsidR="055BB3C1" w:rsidRPr="443CD939">
        <w:rPr>
          <w:lang w:val="en-US"/>
        </w:rPr>
        <w:t>linkage to</w:t>
      </w:r>
      <w:r w:rsidRPr="7948C4C5">
        <w:rPr>
          <w:lang w:val="en-US"/>
        </w:rPr>
        <w:t xml:space="preserve"> care.</w:t>
      </w:r>
    </w:p>
    <w:p w14:paraId="232B5235" w14:textId="6EFA9197" w:rsidR="00BA7FF1" w:rsidRDefault="008549F5">
      <w:pPr>
        <w:ind w:left="1440" w:firstLine="720"/>
      </w:pPr>
      <w:r>
        <w:t xml:space="preserve">Hubs play a crucial role in meeting the Division of Mental Health and Addiction’s (“DMHA”) mission ensuring that </w:t>
      </w:r>
      <w:r w:rsidR="63F62DA0">
        <w:t>individuals</w:t>
      </w:r>
      <w:r>
        <w:t xml:space="preserve"> have access to quality services that promote individual, family and community resilience and recovery. </w:t>
      </w:r>
    </w:p>
    <w:p w14:paraId="232B5236" w14:textId="77777777" w:rsidR="00BA7FF1" w:rsidRDefault="00BA7FF1">
      <w:pPr>
        <w:ind w:left="1440"/>
      </w:pPr>
    </w:p>
    <w:p w14:paraId="232B5237" w14:textId="77777777" w:rsidR="00BA7FF1" w:rsidRDefault="008549F5">
      <w:pPr>
        <w:numPr>
          <w:ilvl w:val="1"/>
          <w:numId w:val="4"/>
        </w:numPr>
      </w:pPr>
      <w:r>
        <w:rPr>
          <w:i/>
        </w:rPr>
        <w:t>Overall Goal</w:t>
      </w:r>
    </w:p>
    <w:p w14:paraId="49A40338" w14:textId="35152DDB" w:rsidR="1393ED88" w:rsidRDefault="1393ED88" w:rsidP="443CD939">
      <w:pPr>
        <w:ind w:left="1440" w:firstLine="720"/>
        <w:rPr>
          <w:lang w:val="en-US"/>
        </w:rPr>
      </w:pPr>
      <w:r w:rsidRPr="443CD939">
        <w:rPr>
          <w:lang w:val="en-US"/>
        </w:rPr>
        <w:t xml:space="preserve">The State has identified a need to </w:t>
      </w:r>
      <w:r w:rsidR="0CFC85BC" w:rsidRPr="443CD939">
        <w:rPr>
          <w:lang w:val="en-US"/>
        </w:rPr>
        <w:t xml:space="preserve">sustain </w:t>
      </w:r>
      <w:r w:rsidRPr="443CD939">
        <w:rPr>
          <w:lang w:val="en-US"/>
        </w:rPr>
        <w:t>the Regional Recovery Hubs and support the expansion of recovery support infrastructure for Hoosiers</w:t>
      </w:r>
      <w:r w:rsidR="3768C8F8" w:rsidRPr="443CD939">
        <w:rPr>
          <w:lang w:val="en-US"/>
        </w:rPr>
        <w:t xml:space="preserve">. </w:t>
      </w:r>
      <w:r w:rsidR="53C70C4D" w:rsidRPr="443CD939">
        <w:rPr>
          <w:lang w:val="en-US"/>
        </w:rPr>
        <w:t>The goal of this RFS is to contract with ten Contractors who will serve as the Hub within an agreed-upon region. Th</w:t>
      </w:r>
      <w:r w:rsidR="73D7BDA8" w:rsidRPr="443CD939">
        <w:rPr>
          <w:lang w:val="en-US"/>
        </w:rPr>
        <w:t>ese responsibilities i</w:t>
      </w:r>
      <w:r w:rsidR="53C70C4D" w:rsidRPr="443CD939">
        <w:rPr>
          <w:lang w:val="en-US"/>
        </w:rPr>
        <w:t xml:space="preserve">nclude overseeing the provision of peer support services by certified peers employed by the Hub, coordinating warm handoffs </w:t>
      </w:r>
      <w:r w:rsidR="0B32735B" w:rsidRPr="443CD939">
        <w:rPr>
          <w:lang w:val="en-US"/>
        </w:rPr>
        <w:t>and linkage to care through referral</w:t>
      </w:r>
      <w:r w:rsidR="18DC71D5" w:rsidRPr="443CD939">
        <w:rPr>
          <w:lang w:val="en-US"/>
        </w:rPr>
        <w:t>s</w:t>
      </w:r>
      <w:r w:rsidR="0B32735B" w:rsidRPr="443CD939">
        <w:rPr>
          <w:lang w:val="en-US"/>
        </w:rPr>
        <w:t>,</w:t>
      </w:r>
      <w:r w:rsidR="53C70C4D" w:rsidRPr="443CD939">
        <w:rPr>
          <w:lang w:val="en-US"/>
        </w:rPr>
        <w:t xml:space="preserve"> deploying peer support for 211 services (with select Hubs), and coordinating ridesharing transportation for participants.</w:t>
      </w:r>
    </w:p>
    <w:p w14:paraId="79373FD5" w14:textId="021C4D72" w:rsidR="1393ED88" w:rsidRDefault="638856FD" w:rsidP="1A1A5CF0">
      <w:pPr>
        <w:ind w:left="1440" w:firstLine="720"/>
        <w:rPr>
          <w:lang w:val="en-US"/>
        </w:rPr>
      </w:pPr>
      <w:r w:rsidRPr="0A1C7083">
        <w:rPr>
          <w:lang w:val="en-US"/>
        </w:rPr>
        <w:t>Peer</w:t>
      </w:r>
      <w:r w:rsidR="0A8552D2" w:rsidRPr="0A1C7083">
        <w:rPr>
          <w:lang w:val="en-US"/>
        </w:rPr>
        <w:t xml:space="preserve"> </w:t>
      </w:r>
      <w:r w:rsidR="7D38D8C8" w:rsidRPr="0A1C7083">
        <w:rPr>
          <w:lang w:val="en-US"/>
        </w:rPr>
        <w:t xml:space="preserve">support </w:t>
      </w:r>
      <w:r w:rsidR="0A8552D2" w:rsidRPr="0A1C7083">
        <w:rPr>
          <w:lang w:val="en-US"/>
        </w:rPr>
        <w:t>services will be maintained by the Hub using a “Wheel and Spoke” model, where the Hub functions as the wheel,</w:t>
      </w:r>
      <w:r w:rsidR="2B7214F9" w:rsidRPr="0A1C7083">
        <w:rPr>
          <w:lang w:val="en-US"/>
        </w:rPr>
        <w:t xml:space="preserve"> and other recovery organizations</w:t>
      </w:r>
      <w:r w:rsidR="0BC9E125" w:rsidRPr="0A1C7083">
        <w:rPr>
          <w:lang w:val="en-US"/>
        </w:rPr>
        <w:t xml:space="preserve"> within the region</w:t>
      </w:r>
      <w:r w:rsidR="2B7214F9" w:rsidRPr="0A1C7083">
        <w:rPr>
          <w:lang w:val="en-US"/>
        </w:rPr>
        <w:t xml:space="preserve">, such as recovery community organizations, serve as the spokes. The Hub will foster and maintain </w:t>
      </w:r>
      <w:r w:rsidR="0A8552D2" w:rsidRPr="0A1C7083">
        <w:rPr>
          <w:lang w:val="en-US"/>
        </w:rPr>
        <w:t>relationships with</w:t>
      </w:r>
      <w:r w:rsidR="05BA711E" w:rsidRPr="0A1C7083">
        <w:rPr>
          <w:lang w:val="en-US"/>
        </w:rPr>
        <w:t xml:space="preserve"> these</w:t>
      </w:r>
      <w:r w:rsidR="0A8552D2" w:rsidRPr="0A1C7083">
        <w:rPr>
          <w:lang w:val="en-US"/>
        </w:rPr>
        <w:t xml:space="preserve"> recovery organizations</w:t>
      </w:r>
      <w:r w:rsidR="57AD0F96" w:rsidRPr="0A1C7083">
        <w:rPr>
          <w:lang w:val="en-US"/>
        </w:rPr>
        <w:t xml:space="preserve"> </w:t>
      </w:r>
      <w:r w:rsidR="0A8552D2" w:rsidRPr="0A1C7083">
        <w:rPr>
          <w:lang w:val="en-US"/>
        </w:rPr>
        <w:t xml:space="preserve">to </w:t>
      </w:r>
      <w:r w:rsidR="1AE16EEF" w:rsidRPr="0A1C7083">
        <w:rPr>
          <w:lang w:val="en-US"/>
        </w:rPr>
        <w:t>ensure Hoosiers may access recovery support, connection and resource navigation</w:t>
      </w:r>
      <w:r w:rsidR="11065D6B" w:rsidRPr="0A1C7083">
        <w:rPr>
          <w:lang w:val="en-US"/>
        </w:rPr>
        <w:t xml:space="preserve"> within the agreed-upon region</w:t>
      </w:r>
      <w:r w:rsidR="1A058458" w:rsidRPr="0A1C7083">
        <w:rPr>
          <w:lang w:val="en-US"/>
        </w:rPr>
        <w:t>.</w:t>
      </w:r>
      <w:r w:rsidR="446326BB" w:rsidRPr="0A1C7083">
        <w:rPr>
          <w:lang w:val="en-US"/>
        </w:rPr>
        <w:t xml:space="preserve"> </w:t>
      </w:r>
    </w:p>
    <w:p w14:paraId="232B5239" w14:textId="77777777" w:rsidR="00BA7FF1" w:rsidRDefault="00BA7FF1"/>
    <w:p w14:paraId="232B523A" w14:textId="77777777" w:rsidR="00BA7FF1" w:rsidRDefault="008549F5">
      <w:pPr>
        <w:numPr>
          <w:ilvl w:val="0"/>
          <w:numId w:val="4"/>
        </w:numPr>
        <w:rPr>
          <w:b/>
        </w:rPr>
      </w:pPr>
      <w:r>
        <w:rPr>
          <w:b/>
        </w:rPr>
        <w:t>Mandatory Requirements</w:t>
      </w:r>
    </w:p>
    <w:p w14:paraId="232B523B" w14:textId="77777777" w:rsidR="00BA7FF1" w:rsidRDefault="008549F5">
      <w:pPr>
        <w:ind w:left="720"/>
      </w:pPr>
      <w:r w:rsidRPr="7948C4C5">
        <w:rPr>
          <w:lang w:val="en-US"/>
        </w:rPr>
        <w:t>In order to be eligible for consideration by the State, a Respondent must meet the following Mandatory Requirements:</w:t>
      </w:r>
    </w:p>
    <w:p w14:paraId="232B523D" w14:textId="3F5B0F6D" w:rsidR="00BA7FF1" w:rsidRDefault="00BA7FF1" w:rsidP="712A7F0C">
      <w:pPr>
        <w:rPr>
          <w:color w:val="FF0000"/>
        </w:rPr>
      </w:pPr>
    </w:p>
    <w:p w14:paraId="06F2CFC0" w14:textId="4FF99013" w:rsidR="00887004" w:rsidRDefault="008549F5" w:rsidP="00887004">
      <w:pPr>
        <w:numPr>
          <w:ilvl w:val="0"/>
          <w:numId w:val="7"/>
        </w:numPr>
      </w:pPr>
      <w:r w:rsidRPr="45D3A866">
        <w:rPr>
          <w:lang w:val="en-US"/>
        </w:rPr>
        <w:t>A Respondent must hold active certification as a Recovery Community Organization (“RCO”)</w:t>
      </w:r>
      <w:r w:rsidR="2798F186" w:rsidRPr="45D3A866">
        <w:rPr>
          <w:lang w:val="en-US"/>
        </w:rPr>
        <w:t xml:space="preserve"> in the </w:t>
      </w:r>
      <w:r w:rsidR="43179CB8" w:rsidRPr="45D3A866">
        <w:rPr>
          <w:lang w:val="en-US"/>
        </w:rPr>
        <w:t>selected r</w:t>
      </w:r>
      <w:r w:rsidR="2798F186" w:rsidRPr="45D3A866">
        <w:rPr>
          <w:lang w:val="en-US"/>
        </w:rPr>
        <w:t xml:space="preserve">egion </w:t>
      </w:r>
      <w:r w:rsidR="2B4B094D" w:rsidRPr="45D3A866">
        <w:rPr>
          <w:lang w:val="en-US"/>
        </w:rPr>
        <w:t>for which the proposal is submitted</w:t>
      </w:r>
      <w:r w:rsidRPr="45D3A866">
        <w:rPr>
          <w:lang w:val="en-US"/>
        </w:rPr>
        <w:t xml:space="preserve">. RCOs are independent, non-profit organizations providing a variety of activities available to all community members recovering from substance use.  More information on receiving RCO certification may be found on the </w:t>
      </w:r>
      <w:hyperlink r:id="rId10" w:anchor="find_rco">
        <w:r w:rsidRPr="45D3A866">
          <w:rPr>
            <w:color w:val="1155CC"/>
            <w:u w:val="single"/>
            <w:lang w:val="en-US"/>
          </w:rPr>
          <w:t>Indiana Recovery Network’s website</w:t>
        </w:r>
      </w:hyperlink>
      <w:r w:rsidRPr="45D3A866">
        <w:rPr>
          <w:lang w:val="en-US"/>
        </w:rPr>
        <w:t>.</w:t>
      </w:r>
    </w:p>
    <w:p w14:paraId="2C18BBAA" w14:textId="77777777" w:rsidR="00887004" w:rsidRDefault="00887004" w:rsidP="00887004">
      <w:pPr>
        <w:pStyle w:val="ListParagraph"/>
      </w:pPr>
    </w:p>
    <w:p w14:paraId="3A2A7DD6" w14:textId="65E11516" w:rsidR="00513B29" w:rsidRDefault="00513B29" w:rsidP="00887004">
      <w:pPr>
        <w:numPr>
          <w:ilvl w:val="1"/>
          <w:numId w:val="7"/>
        </w:numPr>
      </w:pPr>
      <w:r w:rsidRPr="7948C4C5">
        <w:rPr>
          <w:lang w:val="en-US"/>
        </w:rPr>
        <w:lastRenderedPageBreak/>
        <w:t>A lapse in RCO certification may result in the cancellation of the Contract, as it compromises the integrity and quality of the peer services provided. The Contractor shall proactively manage their certification status, including staying updated on all renewal requirements and compliance measures set forth by the certifying body. The Contractor shall contact DMHA regarding any potential issues or delays in maintaining their RCO certification, within five (5) business days of initial identification.</w:t>
      </w:r>
    </w:p>
    <w:p w14:paraId="232B523F" w14:textId="77777777" w:rsidR="00BA7FF1" w:rsidRDefault="00BA7FF1"/>
    <w:p w14:paraId="232B5240" w14:textId="77777777" w:rsidR="00BA7FF1" w:rsidRDefault="008549F5">
      <w:pPr>
        <w:numPr>
          <w:ilvl w:val="0"/>
          <w:numId w:val="4"/>
        </w:numPr>
        <w:rPr>
          <w:b/>
        </w:rPr>
      </w:pPr>
      <w:r>
        <w:rPr>
          <w:b/>
        </w:rPr>
        <w:t>Desired Contractor Requirements</w:t>
      </w:r>
    </w:p>
    <w:p w14:paraId="232B5241" w14:textId="77777777" w:rsidR="00BA7FF1" w:rsidRDefault="008549F5">
      <w:pPr>
        <w:ind w:left="720"/>
      </w:pPr>
      <w:r w:rsidRPr="7948C4C5">
        <w:rPr>
          <w:lang w:val="en-US"/>
        </w:rPr>
        <w:t>The State desires a Contractor with the following experience:</w:t>
      </w:r>
    </w:p>
    <w:p w14:paraId="232B5242" w14:textId="77777777" w:rsidR="00BA7FF1" w:rsidRDefault="00BA7FF1">
      <w:pPr>
        <w:ind w:left="720"/>
      </w:pPr>
    </w:p>
    <w:p w14:paraId="232B5243" w14:textId="77777777" w:rsidR="00BA7FF1" w:rsidRDefault="008549F5">
      <w:pPr>
        <w:numPr>
          <w:ilvl w:val="0"/>
          <w:numId w:val="2"/>
        </w:numPr>
        <w:spacing w:line="256" w:lineRule="auto"/>
      </w:pPr>
      <w:r>
        <w:rPr>
          <w:i/>
        </w:rPr>
        <w:t>Subject Matter Expertise</w:t>
      </w:r>
    </w:p>
    <w:p w14:paraId="232B5244" w14:textId="5D38867E" w:rsidR="00BA7FF1" w:rsidRDefault="008549F5">
      <w:pPr>
        <w:numPr>
          <w:ilvl w:val="1"/>
          <w:numId w:val="2"/>
        </w:numPr>
        <w:spacing w:line="256" w:lineRule="auto"/>
      </w:pPr>
      <w:r w:rsidRPr="7948C4C5">
        <w:rPr>
          <w:lang w:val="en-US"/>
        </w:rPr>
        <w:t xml:space="preserve">It is desired that a Respondent have experience managing the direct delivery of peer </w:t>
      </w:r>
      <w:r w:rsidR="087040DC" w:rsidRPr="443CD939">
        <w:rPr>
          <w:lang w:val="en-US"/>
        </w:rPr>
        <w:t>support</w:t>
      </w:r>
      <w:r w:rsidRPr="7948C4C5">
        <w:rPr>
          <w:lang w:val="en-US"/>
        </w:rPr>
        <w:t xml:space="preserve"> services. Ideally, a Respondent will have experience previously operating as a Hub. </w:t>
      </w:r>
    </w:p>
    <w:p w14:paraId="232B5245" w14:textId="42D918AE" w:rsidR="00BA7FF1" w:rsidRDefault="008549F5">
      <w:pPr>
        <w:numPr>
          <w:ilvl w:val="1"/>
          <w:numId w:val="2"/>
        </w:numPr>
        <w:spacing w:line="256" w:lineRule="auto"/>
      </w:pPr>
      <w:r w:rsidRPr="7948C4C5">
        <w:rPr>
          <w:lang w:val="en-US"/>
        </w:rPr>
        <w:t xml:space="preserve">It is desired that a Respondent have experience within the mental health and substance </w:t>
      </w:r>
      <w:r w:rsidR="56020CB2" w:rsidRPr="1A1A5CF0">
        <w:rPr>
          <w:lang w:val="en-US"/>
        </w:rPr>
        <w:t xml:space="preserve">use </w:t>
      </w:r>
      <w:r w:rsidR="4CE674BC" w:rsidRPr="1A1A5CF0">
        <w:rPr>
          <w:lang w:val="en-US"/>
        </w:rPr>
        <w:t xml:space="preserve">recovery </w:t>
      </w:r>
      <w:r w:rsidRPr="1A1A5CF0">
        <w:rPr>
          <w:lang w:val="en-US"/>
        </w:rPr>
        <w:t>space.</w:t>
      </w:r>
      <w:r w:rsidRPr="7948C4C5">
        <w:rPr>
          <w:lang w:val="en-US"/>
        </w:rPr>
        <w:t xml:space="preserve"> The Respondent should additionally demonstrate an understanding of the populations served within the region of choice.</w:t>
      </w:r>
    </w:p>
    <w:p w14:paraId="232B5246" w14:textId="6AE624FF" w:rsidR="00BA7FF1" w:rsidRDefault="008549F5">
      <w:pPr>
        <w:numPr>
          <w:ilvl w:val="1"/>
          <w:numId w:val="2"/>
        </w:numPr>
        <w:spacing w:line="256" w:lineRule="auto"/>
      </w:pPr>
      <w:r w:rsidRPr="7948C4C5">
        <w:rPr>
          <w:lang w:val="en-US"/>
        </w:rPr>
        <w:t xml:space="preserve">Any expertise in peer </w:t>
      </w:r>
      <w:r w:rsidR="4E4E753D" w:rsidRPr="443CD939">
        <w:rPr>
          <w:lang w:val="en-US"/>
        </w:rPr>
        <w:t>support</w:t>
      </w:r>
      <w:r w:rsidRPr="7948C4C5">
        <w:rPr>
          <w:lang w:val="en-US"/>
        </w:rPr>
        <w:t xml:space="preserve"> supervision, including a strong understanding of recovery-oriented systems of care is also desired. This includes having the capacity to oversee compliance of peer </w:t>
      </w:r>
      <w:r w:rsidR="51912627" w:rsidRPr="443CD939">
        <w:rPr>
          <w:lang w:val="en-US"/>
        </w:rPr>
        <w:t>s</w:t>
      </w:r>
      <w:r w:rsidR="6783B115" w:rsidRPr="443CD939">
        <w:rPr>
          <w:lang w:val="en-US"/>
        </w:rPr>
        <w:t>ervices</w:t>
      </w:r>
      <w:r w:rsidRPr="7948C4C5">
        <w:rPr>
          <w:lang w:val="en-US"/>
        </w:rPr>
        <w:t xml:space="preserve"> with relevant state standards. </w:t>
      </w:r>
    </w:p>
    <w:p w14:paraId="232B5247" w14:textId="77777777" w:rsidR="00BA7FF1" w:rsidRDefault="00BA7FF1">
      <w:pPr>
        <w:spacing w:line="256" w:lineRule="auto"/>
        <w:ind w:left="2160"/>
      </w:pPr>
    </w:p>
    <w:p w14:paraId="232B5248" w14:textId="77777777" w:rsidR="00BA7FF1" w:rsidRDefault="008549F5">
      <w:pPr>
        <w:numPr>
          <w:ilvl w:val="0"/>
          <w:numId w:val="2"/>
        </w:numPr>
        <w:spacing w:line="256" w:lineRule="auto"/>
      </w:pPr>
      <w:r>
        <w:rPr>
          <w:i/>
        </w:rPr>
        <w:t>Stakeholder Engagement Experience</w:t>
      </w:r>
    </w:p>
    <w:p w14:paraId="232B5249" w14:textId="1D9CA5A4" w:rsidR="00BA7FF1" w:rsidRDefault="008549F5">
      <w:pPr>
        <w:numPr>
          <w:ilvl w:val="1"/>
          <w:numId w:val="2"/>
        </w:numPr>
        <w:spacing w:line="256" w:lineRule="auto"/>
      </w:pPr>
      <w:r w:rsidRPr="7948C4C5">
        <w:rPr>
          <w:lang w:val="en-US"/>
        </w:rPr>
        <w:t xml:space="preserve">It is desired that a Respondent have extensive experience developing and maintaining partnerships with non-profit organizations. This includes having experience in coordinating linkages to </w:t>
      </w:r>
      <w:r w:rsidR="713F2DEE" w:rsidRPr="443CD939">
        <w:rPr>
          <w:lang w:val="en-US"/>
        </w:rPr>
        <w:t>necessary services</w:t>
      </w:r>
      <w:r w:rsidRPr="7948C4C5">
        <w:rPr>
          <w:lang w:val="en-US"/>
        </w:rPr>
        <w:t xml:space="preserve"> for individuals across different systems.</w:t>
      </w:r>
    </w:p>
    <w:p w14:paraId="232B524A" w14:textId="77777777" w:rsidR="00BA7FF1" w:rsidRDefault="008549F5">
      <w:pPr>
        <w:numPr>
          <w:ilvl w:val="1"/>
          <w:numId w:val="2"/>
        </w:numPr>
        <w:spacing w:line="256" w:lineRule="auto"/>
      </w:pPr>
      <w:r>
        <w:t>It is desired that a Respondent have experience developing and implementing recovery support programs, including outreach, engagement, and retention strategies.</w:t>
      </w:r>
    </w:p>
    <w:p w14:paraId="232B524B" w14:textId="77777777" w:rsidR="00BA7FF1" w:rsidRDefault="00BA7FF1">
      <w:pPr>
        <w:spacing w:line="256" w:lineRule="auto"/>
        <w:ind w:left="1440"/>
        <w:rPr>
          <w:i/>
        </w:rPr>
      </w:pPr>
    </w:p>
    <w:p w14:paraId="232B524C" w14:textId="77777777" w:rsidR="00BA7FF1" w:rsidRDefault="008549F5">
      <w:pPr>
        <w:numPr>
          <w:ilvl w:val="0"/>
          <w:numId w:val="2"/>
        </w:numPr>
        <w:spacing w:line="256" w:lineRule="auto"/>
      </w:pPr>
      <w:r>
        <w:rPr>
          <w:i/>
        </w:rPr>
        <w:t xml:space="preserve">Data Collection and Reporting Experience </w:t>
      </w:r>
    </w:p>
    <w:p w14:paraId="232B524D" w14:textId="337D8156" w:rsidR="00BA7FF1" w:rsidRDefault="008549F5">
      <w:pPr>
        <w:numPr>
          <w:ilvl w:val="1"/>
          <w:numId w:val="2"/>
        </w:numPr>
        <w:spacing w:line="256" w:lineRule="auto"/>
      </w:pPr>
      <w:r w:rsidRPr="7948C4C5">
        <w:rPr>
          <w:lang w:val="en-US"/>
        </w:rPr>
        <w:t xml:space="preserve">It is desired that a Respondent have experience collecting and reporting data on peer </w:t>
      </w:r>
      <w:r w:rsidR="1B7898C8" w:rsidRPr="443CD939">
        <w:rPr>
          <w:lang w:val="en-US"/>
        </w:rPr>
        <w:t>support</w:t>
      </w:r>
      <w:r w:rsidRPr="7948C4C5">
        <w:rPr>
          <w:lang w:val="en-US"/>
        </w:rPr>
        <w:t xml:space="preserve"> activities, outcomes, and impact. This includes experience operating and reporting data in </w:t>
      </w:r>
      <w:proofErr w:type="spellStart"/>
      <w:r w:rsidRPr="7948C4C5">
        <w:rPr>
          <w:lang w:val="en-US"/>
        </w:rPr>
        <w:t>RecoveryLink</w:t>
      </w:r>
      <w:proofErr w:type="spellEnd"/>
      <w:r w:rsidRPr="7948C4C5">
        <w:rPr>
          <w:lang w:val="en-US"/>
        </w:rPr>
        <w:t xml:space="preserve">. </w:t>
      </w:r>
    </w:p>
    <w:p w14:paraId="232B524E" w14:textId="77777777" w:rsidR="00BA7FF1" w:rsidRDefault="00BA7FF1"/>
    <w:p w14:paraId="232B5251" w14:textId="4652D3B7" w:rsidR="00BA7FF1" w:rsidRDefault="008549F5">
      <w:pPr>
        <w:numPr>
          <w:ilvl w:val="0"/>
          <w:numId w:val="4"/>
        </w:numPr>
        <w:rPr>
          <w:b/>
        </w:rPr>
      </w:pPr>
      <w:r>
        <w:rPr>
          <w:b/>
        </w:rPr>
        <w:t xml:space="preserve">Recovery Hub Regions </w:t>
      </w:r>
    </w:p>
    <w:p w14:paraId="232B5252" w14:textId="77777777" w:rsidR="00BA7FF1" w:rsidRDefault="008549F5">
      <w:pPr>
        <w:numPr>
          <w:ilvl w:val="0"/>
          <w:numId w:val="5"/>
        </w:numPr>
      </w:pPr>
      <w:r>
        <w:rPr>
          <w:i/>
        </w:rPr>
        <w:t>Description</w:t>
      </w:r>
    </w:p>
    <w:p w14:paraId="232B5253" w14:textId="1EFCAC9E" w:rsidR="00BA7FF1" w:rsidRDefault="008549F5">
      <w:pPr>
        <w:ind w:left="1440" w:firstLine="720"/>
        <w:rPr>
          <w:lang w:val="en-US"/>
        </w:rPr>
      </w:pPr>
      <w:r w:rsidRPr="7948C4C5">
        <w:rPr>
          <w:lang w:val="en-US"/>
        </w:rPr>
        <w:t xml:space="preserve">The State has divided Indiana into 10 Hub regions. Respondents are eligible to submit a response to serve as the Hub for one region. Respondents are unable to submit a response for multiple regions. </w:t>
      </w:r>
      <w:r w:rsidR="713F808C" w:rsidRPr="1A1A5CF0">
        <w:rPr>
          <w:lang w:val="en-US"/>
        </w:rPr>
        <w:t>T</w:t>
      </w:r>
      <w:r w:rsidRPr="1A1A5CF0">
        <w:rPr>
          <w:lang w:val="en-US"/>
        </w:rPr>
        <w:t>he</w:t>
      </w:r>
      <w:r w:rsidRPr="7948C4C5">
        <w:rPr>
          <w:lang w:val="en-US"/>
        </w:rPr>
        <w:t xml:space="preserve"> Contractor will ideally possess prior experience providing services within at least one of the counties encompassed by their proposed region. </w:t>
      </w:r>
    </w:p>
    <w:p w14:paraId="232B5254" w14:textId="7605F083" w:rsidR="00BA7FF1" w:rsidRDefault="008549F5">
      <w:pPr>
        <w:ind w:left="1440" w:firstLine="720"/>
      </w:pPr>
      <w:r>
        <w:t>A map of the regions and counties may be found below</w:t>
      </w:r>
      <w:r w:rsidR="41CF3FD2">
        <w:t>.</w:t>
      </w:r>
    </w:p>
    <w:p w14:paraId="232B5256" w14:textId="77777777" w:rsidR="00BA7FF1" w:rsidRDefault="00BA7FF1">
      <w:pPr>
        <w:ind w:left="720"/>
      </w:pPr>
    </w:p>
    <w:p w14:paraId="232B5257" w14:textId="77777777" w:rsidR="00BA7FF1" w:rsidRDefault="00BA7FF1">
      <w:pPr>
        <w:ind w:left="720"/>
      </w:pPr>
    </w:p>
    <w:p w14:paraId="232B5258" w14:textId="77777777" w:rsidR="00BA7FF1" w:rsidRDefault="008549F5">
      <w:pPr>
        <w:ind w:left="720"/>
      </w:pPr>
      <w:r>
        <w:rPr>
          <w:noProof/>
        </w:rPr>
        <w:drawing>
          <wp:inline distT="114300" distB="114300" distL="114300" distR="114300" wp14:anchorId="232B536D" wp14:editId="232B536E">
            <wp:extent cx="5895981" cy="3586637"/>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r="7532"/>
                    <a:stretch>
                      <a:fillRect/>
                    </a:stretch>
                  </pic:blipFill>
                  <pic:spPr>
                    <a:xfrm>
                      <a:off x="0" y="0"/>
                      <a:ext cx="5895981" cy="3586637"/>
                    </a:xfrm>
                    <a:prstGeom prst="rect">
                      <a:avLst/>
                    </a:prstGeom>
                    <a:ln/>
                  </pic:spPr>
                </pic:pic>
              </a:graphicData>
            </a:graphic>
          </wp:inline>
        </w:drawing>
      </w:r>
    </w:p>
    <w:tbl>
      <w:tblPr>
        <w:tblStyle w:val="TableGrid"/>
        <w:tblW w:w="0" w:type="auto"/>
        <w:tblInd w:w="720" w:type="dxa"/>
        <w:tblLayout w:type="fixed"/>
        <w:tblLook w:val="06A0" w:firstRow="1" w:lastRow="0" w:firstColumn="1" w:lastColumn="0" w:noHBand="1" w:noVBand="1"/>
      </w:tblPr>
      <w:tblGrid>
        <w:gridCol w:w="1290"/>
        <w:gridCol w:w="7350"/>
      </w:tblGrid>
      <w:tr w:rsidR="45D3A866" w14:paraId="64A04773" w14:textId="77777777" w:rsidTr="45D3A866">
        <w:trPr>
          <w:trHeight w:val="300"/>
        </w:trPr>
        <w:tc>
          <w:tcPr>
            <w:tcW w:w="1290" w:type="dxa"/>
            <w:shd w:val="clear" w:color="auto" w:fill="F2F2F2" w:themeFill="background1" w:themeFillShade="F2"/>
          </w:tcPr>
          <w:p w14:paraId="1B9283A9" w14:textId="6E9C5B5B" w:rsidR="45D3A866" w:rsidRDefault="45D3A866" w:rsidP="45D3A866">
            <w:pPr>
              <w:widowControl w:val="0"/>
              <w:pBdr>
                <w:top w:val="nil"/>
                <w:left w:val="nil"/>
                <w:bottom w:val="nil"/>
                <w:right w:val="nil"/>
                <w:between w:val="nil"/>
              </w:pBdr>
              <w:rPr>
                <w:color w:val="000000" w:themeColor="text1"/>
              </w:rPr>
            </w:pPr>
            <w:r w:rsidRPr="45D3A866">
              <w:rPr>
                <w:b/>
                <w:bCs/>
                <w:i/>
                <w:iCs/>
                <w:color w:val="000000" w:themeColor="text1"/>
              </w:rPr>
              <w:t xml:space="preserve">Region </w:t>
            </w:r>
          </w:p>
        </w:tc>
        <w:tc>
          <w:tcPr>
            <w:tcW w:w="7350" w:type="dxa"/>
            <w:shd w:val="clear" w:color="auto" w:fill="F2F2F2" w:themeFill="background1" w:themeFillShade="F2"/>
          </w:tcPr>
          <w:p w14:paraId="2B63C818" w14:textId="611FE768" w:rsidR="45D3A866" w:rsidRDefault="45D3A866" w:rsidP="45D3A866">
            <w:pPr>
              <w:widowControl w:val="0"/>
              <w:pBdr>
                <w:top w:val="nil"/>
                <w:left w:val="nil"/>
                <w:bottom w:val="nil"/>
                <w:right w:val="nil"/>
                <w:between w:val="nil"/>
              </w:pBdr>
              <w:rPr>
                <w:color w:val="000000" w:themeColor="text1"/>
              </w:rPr>
            </w:pPr>
            <w:r w:rsidRPr="45D3A866">
              <w:rPr>
                <w:b/>
                <w:bCs/>
                <w:i/>
                <w:iCs/>
                <w:color w:val="000000" w:themeColor="text1"/>
              </w:rPr>
              <w:t>Counties</w:t>
            </w:r>
          </w:p>
        </w:tc>
      </w:tr>
      <w:tr w:rsidR="45D3A866" w14:paraId="4DF6B5A9" w14:textId="77777777" w:rsidTr="45D3A866">
        <w:trPr>
          <w:trHeight w:val="300"/>
        </w:trPr>
        <w:tc>
          <w:tcPr>
            <w:tcW w:w="1290" w:type="dxa"/>
          </w:tcPr>
          <w:p w14:paraId="5BDBE821" w14:textId="7D338807"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t>1</w:t>
            </w:r>
          </w:p>
        </w:tc>
        <w:tc>
          <w:tcPr>
            <w:tcW w:w="7350" w:type="dxa"/>
          </w:tcPr>
          <w:p w14:paraId="7C11DDC7" w14:textId="2F615966"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t>Lake, LaPorte, Porter, Starke, Pulaski, Jasper, Newton</w:t>
            </w:r>
          </w:p>
        </w:tc>
      </w:tr>
      <w:tr w:rsidR="45D3A866" w14:paraId="0E663F4F" w14:textId="77777777" w:rsidTr="45D3A866">
        <w:trPr>
          <w:trHeight w:val="300"/>
        </w:trPr>
        <w:tc>
          <w:tcPr>
            <w:tcW w:w="1290" w:type="dxa"/>
          </w:tcPr>
          <w:p w14:paraId="1F3ABF39" w14:textId="5DDCA224"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t>2</w:t>
            </w:r>
          </w:p>
        </w:tc>
        <w:tc>
          <w:tcPr>
            <w:tcW w:w="7350" w:type="dxa"/>
          </w:tcPr>
          <w:p w14:paraId="06023BE1" w14:textId="5796D268" w:rsidR="45D3A866" w:rsidRDefault="45D3A866" w:rsidP="45D3A866">
            <w:pPr>
              <w:widowControl w:val="0"/>
              <w:rPr>
                <w:color w:val="000000" w:themeColor="text1"/>
              </w:rPr>
            </w:pPr>
            <w:r w:rsidRPr="45D3A866">
              <w:rPr>
                <w:color w:val="000000" w:themeColor="text1"/>
              </w:rPr>
              <w:t xml:space="preserve">St. Joseph, Elkhart, Marshall, Kosciusko, Fulton, Miami, Cass, Wabash, Huntington </w:t>
            </w:r>
          </w:p>
        </w:tc>
      </w:tr>
      <w:tr w:rsidR="45D3A866" w14:paraId="19803DB4" w14:textId="77777777" w:rsidTr="45D3A866">
        <w:trPr>
          <w:trHeight w:val="300"/>
        </w:trPr>
        <w:tc>
          <w:tcPr>
            <w:tcW w:w="1290" w:type="dxa"/>
          </w:tcPr>
          <w:p w14:paraId="0E4C7185" w14:textId="1DDFDF8F"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t>3</w:t>
            </w:r>
          </w:p>
        </w:tc>
        <w:tc>
          <w:tcPr>
            <w:tcW w:w="7350" w:type="dxa"/>
          </w:tcPr>
          <w:p w14:paraId="4414FD9B" w14:textId="7A100AF6" w:rsidR="45D3A866" w:rsidRDefault="45D3A866" w:rsidP="45D3A866">
            <w:pPr>
              <w:widowControl w:val="0"/>
              <w:rPr>
                <w:color w:val="000000" w:themeColor="text1"/>
              </w:rPr>
            </w:pPr>
            <w:r w:rsidRPr="45D3A866">
              <w:rPr>
                <w:color w:val="000000" w:themeColor="text1"/>
              </w:rPr>
              <w:t xml:space="preserve">White, Carroll, Clinton, Boone, Hendricks, Montgomery, Tippecanoe, Fountain, Warren, Benton </w:t>
            </w:r>
          </w:p>
          <w:p w14:paraId="06AD0B11" w14:textId="65E4FFA7" w:rsidR="45D3A866" w:rsidRDefault="45D3A866" w:rsidP="45D3A866">
            <w:pPr>
              <w:widowControl w:val="0"/>
              <w:rPr>
                <w:color w:val="000000" w:themeColor="text1"/>
              </w:rPr>
            </w:pPr>
          </w:p>
          <w:p w14:paraId="5E6FE563" w14:textId="469DA2AF" w:rsidR="45D3A866" w:rsidRDefault="45D3A866" w:rsidP="45D3A866">
            <w:pPr>
              <w:widowControl w:val="0"/>
              <w:pBdr>
                <w:top w:val="nil"/>
                <w:left w:val="nil"/>
                <w:bottom w:val="nil"/>
                <w:right w:val="nil"/>
                <w:between w:val="nil"/>
              </w:pBdr>
              <w:rPr>
                <w:color w:val="000000" w:themeColor="text1"/>
              </w:rPr>
            </w:pPr>
          </w:p>
        </w:tc>
      </w:tr>
      <w:tr w:rsidR="45D3A866" w14:paraId="753282C5" w14:textId="77777777" w:rsidTr="45D3A866">
        <w:trPr>
          <w:trHeight w:val="300"/>
        </w:trPr>
        <w:tc>
          <w:tcPr>
            <w:tcW w:w="1290" w:type="dxa"/>
          </w:tcPr>
          <w:p w14:paraId="632D9BE7" w14:textId="46E3E8ED"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t>4</w:t>
            </w:r>
          </w:p>
        </w:tc>
        <w:tc>
          <w:tcPr>
            <w:tcW w:w="7350" w:type="dxa"/>
          </w:tcPr>
          <w:p w14:paraId="169658E0" w14:textId="04E4C4E5" w:rsidR="45D3A866" w:rsidRDefault="45D3A866" w:rsidP="45D3A866">
            <w:pPr>
              <w:widowControl w:val="0"/>
              <w:rPr>
                <w:color w:val="000000" w:themeColor="text1"/>
              </w:rPr>
            </w:pPr>
            <w:r w:rsidRPr="45D3A866">
              <w:rPr>
                <w:color w:val="000000" w:themeColor="text1"/>
              </w:rPr>
              <w:t xml:space="preserve">Vermillion, Parke, Putnam, Clay, Owen, Monroe, Greene, Sullivan, Vigo, Knox </w:t>
            </w:r>
          </w:p>
          <w:p w14:paraId="61BBECE4" w14:textId="2B683CCE" w:rsidR="45D3A866" w:rsidRDefault="45D3A866" w:rsidP="45D3A866">
            <w:pPr>
              <w:widowControl w:val="0"/>
              <w:rPr>
                <w:color w:val="000000" w:themeColor="text1"/>
              </w:rPr>
            </w:pPr>
          </w:p>
          <w:p w14:paraId="09DD94EC" w14:textId="46A5E148" w:rsidR="45D3A866" w:rsidRDefault="45D3A866" w:rsidP="45D3A866">
            <w:pPr>
              <w:widowControl w:val="0"/>
              <w:pBdr>
                <w:top w:val="nil"/>
                <w:left w:val="nil"/>
                <w:bottom w:val="nil"/>
                <w:right w:val="nil"/>
                <w:between w:val="nil"/>
              </w:pBdr>
              <w:rPr>
                <w:color w:val="000000" w:themeColor="text1"/>
              </w:rPr>
            </w:pPr>
          </w:p>
        </w:tc>
      </w:tr>
      <w:tr w:rsidR="45D3A866" w14:paraId="2012D302" w14:textId="77777777" w:rsidTr="45D3A866">
        <w:trPr>
          <w:trHeight w:val="300"/>
        </w:trPr>
        <w:tc>
          <w:tcPr>
            <w:tcW w:w="1290" w:type="dxa"/>
          </w:tcPr>
          <w:p w14:paraId="17665598" w14:textId="2C5850B6"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t>5</w:t>
            </w:r>
          </w:p>
        </w:tc>
        <w:tc>
          <w:tcPr>
            <w:tcW w:w="7350" w:type="dxa"/>
          </w:tcPr>
          <w:p w14:paraId="5B631121" w14:textId="1D66565B" w:rsidR="45D3A866" w:rsidRDefault="45D3A866" w:rsidP="45D3A866">
            <w:pPr>
              <w:widowControl w:val="0"/>
              <w:rPr>
                <w:color w:val="000000" w:themeColor="text1"/>
              </w:rPr>
            </w:pPr>
            <w:r w:rsidRPr="45D3A866">
              <w:rPr>
                <w:color w:val="000000" w:themeColor="text1"/>
              </w:rPr>
              <w:t xml:space="preserve">Daviess, Martin, Lawrence, Orange, Crawford, Perry, Dubois, Spencer, Warrick, Pike, Gibson, Posey, Vanderburgh </w:t>
            </w:r>
          </w:p>
          <w:p w14:paraId="38924019" w14:textId="7E4A707C" w:rsidR="45D3A866" w:rsidRDefault="45D3A866" w:rsidP="45D3A866">
            <w:pPr>
              <w:widowControl w:val="0"/>
              <w:rPr>
                <w:color w:val="000000" w:themeColor="text1"/>
              </w:rPr>
            </w:pPr>
          </w:p>
          <w:p w14:paraId="234BA3F3" w14:textId="67537221" w:rsidR="45D3A866" w:rsidRDefault="45D3A866" w:rsidP="45D3A866">
            <w:pPr>
              <w:widowControl w:val="0"/>
              <w:pBdr>
                <w:top w:val="nil"/>
                <w:left w:val="nil"/>
                <w:bottom w:val="nil"/>
                <w:right w:val="nil"/>
                <w:between w:val="nil"/>
              </w:pBdr>
              <w:rPr>
                <w:color w:val="000000" w:themeColor="text1"/>
              </w:rPr>
            </w:pPr>
          </w:p>
        </w:tc>
      </w:tr>
      <w:tr w:rsidR="45D3A866" w14:paraId="72267988" w14:textId="77777777" w:rsidTr="45D3A866">
        <w:trPr>
          <w:trHeight w:val="300"/>
        </w:trPr>
        <w:tc>
          <w:tcPr>
            <w:tcW w:w="1290" w:type="dxa"/>
          </w:tcPr>
          <w:p w14:paraId="0F266F55" w14:textId="448A0F36"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t>6</w:t>
            </w:r>
          </w:p>
        </w:tc>
        <w:tc>
          <w:tcPr>
            <w:tcW w:w="7350" w:type="dxa"/>
          </w:tcPr>
          <w:p w14:paraId="674E3058" w14:textId="061EBB70" w:rsidR="45D3A866" w:rsidRDefault="45D3A866" w:rsidP="45D3A866">
            <w:pPr>
              <w:widowControl w:val="0"/>
              <w:rPr>
                <w:color w:val="000000" w:themeColor="text1"/>
              </w:rPr>
            </w:pPr>
            <w:r w:rsidRPr="45D3A866">
              <w:rPr>
                <w:color w:val="000000" w:themeColor="text1"/>
              </w:rPr>
              <w:t xml:space="preserve">Morgan, Johnson, Brown, Bartholomew, Jackson, Jennings, Jefferson, Scott, Clark, Washington, Floyd, Harrison </w:t>
            </w:r>
          </w:p>
          <w:p w14:paraId="17A3D456" w14:textId="3C07ED08" w:rsidR="45D3A866" w:rsidRDefault="45D3A866" w:rsidP="45D3A866">
            <w:pPr>
              <w:widowControl w:val="0"/>
              <w:rPr>
                <w:color w:val="000000" w:themeColor="text1"/>
              </w:rPr>
            </w:pPr>
          </w:p>
          <w:p w14:paraId="3FA0A68C" w14:textId="6D6BA918" w:rsidR="45D3A866" w:rsidRDefault="45D3A866" w:rsidP="45D3A866">
            <w:pPr>
              <w:widowControl w:val="0"/>
              <w:pBdr>
                <w:top w:val="nil"/>
                <w:left w:val="nil"/>
                <w:bottom w:val="nil"/>
                <w:right w:val="nil"/>
                <w:between w:val="nil"/>
              </w:pBdr>
              <w:rPr>
                <w:color w:val="000000" w:themeColor="text1"/>
              </w:rPr>
            </w:pPr>
          </w:p>
        </w:tc>
      </w:tr>
      <w:tr w:rsidR="45D3A866" w14:paraId="528F9D09" w14:textId="77777777" w:rsidTr="45D3A866">
        <w:trPr>
          <w:trHeight w:val="300"/>
        </w:trPr>
        <w:tc>
          <w:tcPr>
            <w:tcW w:w="1290" w:type="dxa"/>
          </w:tcPr>
          <w:p w14:paraId="0CE9E388" w14:textId="66673484"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t>7</w:t>
            </w:r>
          </w:p>
        </w:tc>
        <w:tc>
          <w:tcPr>
            <w:tcW w:w="7350" w:type="dxa"/>
          </w:tcPr>
          <w:p w14:paraId="19AAD102" w14:textId="00C0324D" w:rsidR="45D3A866" w:rsidRDefault="45D3A866" w:rsidP="45D3A866">
            <w:pPr>
              <w:widowControl w:val="0"/>
              <w:rPr>
                <w:color w:val="000000" w:themeColor="text1"/>
              </w:rPr>
            </w:pPr>
            <w:r w:rsidRPr="45D3A866">
              <w:rPr>
                <w:color w:val="000000" w:themeColor="text1"/>
              </w:rPr>
              <w:t xml:space="preserve">Dearborn, Franklin, Ripley, Decatur, Switzerland, Ohio </w:t>
            </w:r>
          </w:p>
          <w:p w14:paraId="5C6DA68E" w14:textId="0999E112" w:rsidR="45D3A866" w:rsidRDefault="45D3A866" w:rsidP="45D3A866">
            <w:pPr>
              <w:widowControl w:val="0"/>
              <w:rPr>
                <w:color w:val="000000" w:themeColor="text1"/>
              </w:rPr>
            </w:pPr>
          </w:p>
          <w:p w14:paraId="35065828" w14:textId="336A541A" w:rsidR="45D3A866" w:rsidRDefault="45D3A866" w:rsidP="45D3A866">
            <w:pPr>
              <w:widowControl w:val="0"/>
              <w:pBdr>
                <w:top w:val="nil"/>
                <w:left w:val="nil"/>
                <w:bottom w:val="nil"/>
                <w:right w:val="nil"/>
                <w:between w:val="nil"/>
              </w:pBdr>
              <w:rPr>
                <w:color w:val="000000" w:themeColor="text1"/>
              </w:rPr>
            </w:pPr>
          </w:p>
        </w:tc>
      </w:tr>
      <w:tr w:rsidR="45D3A866" w14:paraId="4304695F" w14:textId="77777777" w:rsidTr="45D3A866">
        <w:trPr>
          <w:trHeight w:val="300"/>
        </w:trPr>
        <w:tc>
          <w:tcPr>
            <w:tcW w:w="1290" w:type="dxa"/>
          </w:tcPr>
          <w:p w14:paraId="17AF6564" w14:textId="74FFD5CD"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t>8</w:t>
            </w:r>
          </w:p>
        </w:tc>
        <w:tc>
          <w:tcPr>
            <w:tcW w:w="7350" w:type="dxa"/>
          </w:tcPr>
          <w:p w14:paraId="0D0ED0D9" w14:textId="3E880FEA" w:rsidR="45D3A866" w:rsidRDefault="45D3A866" w:rsidP="45D3A866">
            <w:pPr>
              <w:widowControl w:val="0"/>
              <w:rPr>
                <w:color w:val="000000" w:themeColor="text1"/>
              </w:rPr>
            </w:pPr>
            <w:r w:rsidRPr="45D3A866">
              <w:rPr>
                <w:color w:val="000000" w:themeColor="text1"/>
              </w:rPr>
              <w:t xml:space="preserve">Union, Wayne, Fayette, Rush, Shelby, Hancock, Henry, Randolph, Delaware, Jay, Blackford, Grant </w:t>
            </w:r>
          </w:p>
          <w:p w14:paraId="39A6C9BC" w14:textId="1EFAA183" w:rsidR="45D3A866" w:rsidRDefault="45D3A866" w:rsidP="45D3A866">
            <w:pPr>
              <w:widowControl w:val="0"/>
              <w:rPr>
                <w:color w:val="000000" w:themeColor="text1"/>
              </w:rPr>
            </w:pPr>
          </w:p>
          <w:p w14:paraId="45F70674" w14:textId="1CB525C4" w:rsidR="45D3A866" w:rsidRDefault="45D3A866" w:rsidP="45D3A866">
            <w:pPr>
              <w:widowControl w:val="0"/>
              <w:pBdr>
                <w:top w:val="nil"/>
                <w:left w:val="nil"/>
                <w:bottom w:val="nil"/>
                <w:right w:val="nil"/>
                <w:between w:val="nil"/>
              </w:pBdr>
              <w:rPr>
                <w:color w:val="000000" w:themeColor="text1"/>
              </w:rPr>
            </w:pPr>
          </w:p>
        </w:tc>
      </w:tr>
      <w:tr w:rsidR="45D3A866" w14:paraId="14FE3246" w14:textId="77777777" w:rsidTr="45D3A866">
        <w:trPr>
          <w:trHeight w:val="300"/>
        </w:trPr>
        <w:tc>
          <w:tcPr>
            <w:tcW w:w="1290" w:type="dxa"/>
          </w:tcPr>
          <w:p w14:paraId="487EBA2D" w14:textId="312746B3"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lastRenderedPageBreak/>
              <w:t>9</w:t>
            </w:r>
          </w:p>
        </w:tc>
        <w:tc>
          <w:tcPr>
            <w:tcW w:w="7350" w:type="dxa"/>
          </w:tcPr>
          <w:p w14:paraId="06B34503" w14:textId="3F93CF32" w:rsidR="45D3A866" w:rsidRDefault="45D3A866" w:rsidP="45D3A866">
            <w:pPr>
              <w:widowControl w:val="0"/>
              <w:rPr>
                <w:color w:val="000000" w:themeColor="text1"/>
              </w:rPr>
            </w:pPr>
            <w:r w:rsidRPr="45D3A866">
              <w:rPr>
                <w:color w:val="000000" w:themeColor="text1"/>
              </w:rPr>
              <w:t xml:space="preserve">Marion, Hamilton, Madison, Tipton, Howard </w:t>
            </w:r>
          </w:p>
          <w:p w14:paraId="110F2013" w14:textId="693F0123" w:rsidR="45D3A866" w:rsidRDefault="45D3A866" w:rsidP="45D3A866">
            <w:pPr>
              <w:widowControl w:val="0"/>
              <w:pBdr>
                <w:top w:val="nil"/>
                <w:left w:val="nil"/>
                <w:bottom w:val="nil"/>
                <w:right w:val="nil"/>
                <w:between w:val="nil"/>
              </w:pBdr>
              <w:rPr>
                <w:color w:val="000000" w:themeColor="text1"/>
              </w:rPr>
            </w:pPr>
          </w:p>
        </w:tc>
      </w:tr>
      <w:tr w:rsidR="45D3A866" w14:paraId="02A94CAB" w14:textId="77777777" w:rsidTr="45D3A866">
        <w:trPr>
          <w:trHeight w:val="300"/>
        </w:trPr>
        <w:tc>
          <w:tcPr>
            <w:tcW w:w="1290" w:type="dxa"/>
          </w:tcPr>
          <w:p w14:paraId="7D4D04AA" w14:textId="414119FF" w:rsidR="45D3A866" w:rsidRDefault="45D3A866" w:rsidP="45D3A866">
            <w:pPr>
              <w:widowControl w:val="0"/>
              <w:pBdr>
                <w:top w:val="nil"/>
                <w:left w:val="nil"/>
                <w:bottom w:val="nil"/>
                <w:right w:val="nil"/>
                <w:between w:val="nil"/>
              </w:pBdr>
              <w:rPr>
                <w:color w:val="000000" w:themeColor="text1"/>
              </w:rPr>
            </w:pPr>
            <w:r w:rsidRPr="45D3A866">
              <w:rPr>
                <w:color w:val="000000" w:themeColor="text1"/>
              </w:rPr>
              <w:t>10</w:t>
            </w:r>
          </w:p>
        </w:tc>
        <w:tc>
          <w:tcPr>
            <w:tcW w:w="7350" w:type="dxa"/>
          </w:tcPr>
          <w:p w14:paraId="147AE03C" w14:textId="26770B56" w:rsidR="45D3A866" w:rsidRDefault="45D3A866" w:rsidP="45D3A866">
            <w:pPr>
              <w:widowControl w:val="0"/>
              <w:rPr>
                <w:color w:val="000000" w:themeColor="text1"/>
              </w:rPr>
            </w:pPr>
            <w:r w:rsidRPr="45D3A866">
              <w:rPr>
                <w:color w:val="000000" w:themeColor="text1"/>
              </w:rPr>
              <w:t xml:space="preserve">Adams, Wells, Allen, Whitley, DeKalb, Noble, Steuben, LaGrange </w:t>
            </w:r>
          </w:p>
        </w:tc>
      </w:tr>
    </w:tbl>
    <w:p w14:paraId="4FD93448" w14:textId="274C472B" w:rsidR="45D3A866" w:rsidRDefault="45D3A866" w:rsidP="45D3A866">
      <w:pPr>
        <w:ind w:left="720"/>
      </w:pPr>
    </w:p>
    <w:p w14:paraId="232B52CE" w14:textId="4C850328" w:rsidR="00BA7FF1" w:rsidRDefault="008549F5" w:rsidP="183AE724">
      <w:pPr>
        <w:pStyle w:val="ListParagraph"/>
        <w:numPr>
          <w:ilvl w:val="0"/>
          <w:numId w:val="4"/>
        </w:numPr>
        <w:rPr>
          <w:b/>
          <w:bCs/>
        </w:rPr>
      </w:pPr>
      <w:r w:rsidRPr="183AE724">
        <w:rPr>
          <w:b/>
          <w:bCs/>
        </w:rPr>
        <w:t xml:space="preserve">Peer Services and Supervision </w:t>
      </w:r>
    </w:p>
    <w:p w14:paraId="232B52CF" w14:textId="01660291" w:rsidR="00BA7FF1" w:rsidRDefault="008549F5">
      <w:pPr>
        <w:ind w:left="720"/>
        <w:rPr>
          <w:lang w:val="en-US"/>
        </w:rPr>
      </w:pPr>
      <w:r w:rsidRPr="7948C4C5">
        <w:rPr>
          <w:lang w:val="en-US"/>
        </w:rPr>
        <w:t xml:space="preserve">Each Contractor shall serve as the Hub for a region and ensure the provision and oversight of </w:t>
      </w:r>
      <w:r w:rsidR="5FBE07D4" w:rsidRPr="1A1A5CF0">
        <w:rPr>
          <w:lang w:val="en-US"/>
        </w:rPr>
        <w:t>all</w:t>
      </w:r>
      <w:r w:rsidRPr="7948C4C5">
        <w:rPr>
          <w:lang w:val="en-US"/>
        </w:rPr>
        <w:t xml:space="preserve"> services </w:t>
      </w:r>
      <w:r w:rsidR="5FBE07D4" w:rsidRPr="1A1A5CF0">
        <w:rPr>
          <w:lang w:val="en-US"/>
        </w:rPr>
        <w:t xml:space="preserve">currently provided by </w:t>
      </w:r>
      <w:r w:rsidR="00C25CE4">
        <w:rPr>
          <w:lang w:val="en-US"/>
        </w:rPr>
        <w:t>H</w:t>
      </w:r>
      <w:r w:rsidR="5FBE07D4" w:rsidRPr="1A1A5CF0">
        <w:rPr>
          <w:lang w:val="en-US"/>
        </w:rPr>
        <w:t>ubs</w:t>
      </w:r>
      <w:r w:rsidRPr="1A1A5CF0">
        <w:rPr>
          <w:lang w:val="en-US"/>
        </w:rPr>
        <w:t>.</w:t>
      </w:r>
      <w:r w:rsidRPr="7948C4C5">
        <w:rPr>
          <w:lang w:val="en-US"/>
        </w:rPr>
        <w:t xml:space="preserve"> Specifically, the Contractor shall employ </w:t>
      </w:r>
      <w:r w:rsidR="675F9F7C" w:rsidRPr="1A1A5CF0">
        <w:rPr>
          <w:lang w:val="en-US"/>
        </w:rPr>
        <w:t>certified peers to provide peer support</w:t>
      </w:r>
      <w:r w:rsidR="0C8D3634" w:rsidRPr="1A1A5CF0">
        <w:rPr>
          <w:lang w:val="en-US"/>
        </w:rPr>
        <w:t xml:space="preserve"> services</w:t>
      </w:r>
      <w:r w:rsidR="675F9F7C" w:rsidRPr="1A1A5CF0">
        <w:rPr>
          <w:lang w:val="en-US"/>
        </w:rPr>
        <w:t xml:space="preserve"> throughout the region.</w:t>
      </w:r>
    </w:p>
    <w:p w14:paraId="232B52D0" w14:textId="77777777" w:rsidR="00BA7FF1" w:rsidRDefault="00BA7FF1">
      <w:pPr>
        <w:ind w:left="720"/>
      </w:pPr>
    </w:p>
    <w:p w14:paraId="232B52D7" w14:textId="33BD4BD7" w:rsidR="00BA7FF1" w:rsidRDefault="008549F5">
      <w:pPr>
        <w:numPr>
          <w:ilvl w:val="0"/>
          <w:numId w:val="6"/>
        </w:numPr>
      </w:pPr>
      <w:r>
        <w:rPr>
          <w:i/>
        </w:rPr>
        <w:t xml:space="preserve">Peer </w:t>
      </w:r>
      <w:r w:rsidR="2A50B1D7" w:rsidRPr="1A1A5CF0">
        <w:rPr>
          <w:i/>
          <w:iCs/>
        </w:rPr>
        <w:t>Support</w:t>
      </w:r>
      <w:r>
        <w:rPr>
          <w:i/>
        </w:rPr>
        <w:t xml:space="preserve"> Responsibilities </w:t>
      </w:r>
    </w:p>
    <w:p w14:paraId="232B52D8" w14:textId="21A032B7" w:rsidR="00BA7FF1" w:rsidRDefault="008549F5">
      <w:pPr>
        <w:numPr>
          <w:ilvl w:val="1"/>
          <w:numId w:val="6"/>
        </w:numPr>
      </w:pPr>
      <w:r>
        <w:rPr>
          <w:i/>
        </w:rPr>
        <w:t xml:space="preserve">Employment of Peer </w:t>
      </w:r>
      <w:r w:rsidR="37763A94" w:rsidRPr="092ECA30">
        <w:rPr>
          <w:i/>
          <w:iCs/>
        </w:rPr>
        <w:t>S</w:t>
      </w:r>
      <w:r w:rsidR="2E2990EC" w:rsidRPr="092ECA30">
        <w:rPr>
          <w:i/>
          <w:iCs/>
        </w:rPr>
        <w:t>upport</w:t>
      </w:r>
      <w:r>
        <w:rPr>
          <w:i/>
        </w:rPr>
        <w:t xml:space="preserve"> Staff</w:t>
      </w:r>
    </w:p>
    <w:p w14:paraId="232B52D9" w14:textId="486AF444" w:rsidR="00BA7FF1" w:rsidRPr="0015435E" w:rsidRDefault="6136FEE2" w:rsidP="45D3A866">
      <w:pPr>
        <w:numPr>
          <w:ilvl w:val="2"/>
          <w:numId w:val="6"/>
        </w:numPr>
        <w:rPr>
          <w:lang w:val="en-US"/>
        </w:rPr>
      </w:pPr>
      <w:r w:rsidRPr="1A1A5CF0">
        <w:rPr>
          <w:lang w:val="en-US"/>
        </w:rPr>
        <w:t>The c</w:t>
      </w:r>
      <w:r w:rsidR="008549F5" w:rsidRPr="1A1A5CF0">
        <w:rPr>
          <w:lang w:val="en-US"/>
        </w:rPr>
        <w:t>ontractor</w:t>
      </w:r>
      <w:r w:rsidR="008549F5" w:rsidRPr="45D3A866">
        <w:rPr>
          <w:lang w:val="en-US"/>
        </w:rPr>
        <w:t xml:space="preserve"> </w:t>
      </w:r>
      <w:r w:rsidR="00EB7FE1">
        <w:rPr>
          <w:lang w:val="en-US"/>
        </w:rPr>
        <w:t xml:space="preserve">will </w:t>
      </w:r>
      <w:r w:rsidR="504343B4" w:rsidRPr="1A1A5CF0">
        <w:rPr>
          <w:lang w:val="en-US"/>
        </w:rPr>
        <w:t>utilize certified peers</w:t>
      </w:r>
      <w:r w:rsidR="008549F5" w:rsidRPr="45D3A866">
        <w:rPr>
          <w:lang w:val="en-US"/>
        </w:rPr>
        <w:t xml:space="preserve"> </w:t>
      </w:r>
      <w:r w:rsidR="00EB7FE1">
        <w:rPr>
          <w:lang w:val="en-US"/>
        </w:rPr>
        <w:t xml:space="preserve">directly </w:t>
      </w:r>
      <w:r w:rsidR="008549F5" w:rsidRPr="45D3A866">
        <w:rPr>
          <w:lang w:val="en-US"/>
        </w:rPr>
        <w:t>or through subcontracting with other qualified providers to serve their region. All proposed subcontractors shall be identified in a Respondent’s proposal.</w:t>
      </w:r>
    </w:p>
    <w:p w14:paraId="232B52DA" w14:textId="32627354" w:rsidR="00BA7FF1" w:rsidRPr="0015435E" w:rsidRDefault="005C73C4" w:rsidP="45D3A866">
      <w:pPr>
        <w:numPr>
          <w:ilvl w:val="2"/>
          <w:numId w:val="6"/>
        </w:numPr>
        <w:rPr>
          <w:lang w:val="en-US"/>
        </w:rPr>
      </w:pPr>
      <w:r>
        <w:rPr>
          <w:lang w:val="en-US"/>
        </w:rPr>
        <w:t xml:space="preserve">Peer services </w:t>
      </w:r>
      <w:r w:rsidR="008549F5" w:rsidRPr="45D3A866">
        <w:rPr>
          <w:lang w:val="en-US"/>
        </w:rPr>
        <w:t xml:space="preserve">shall be provided in accordance with section 6.a.ii.  </w:t>
      </w:r>
    </w:p>
    <w:p w14:paraId="232B52DB" w14:textId="76542284" w:rsidR="00BA7FF1" w:rsidRPr="0015435E" w:rsidRDefault="008549F5">
      <w:pPr>
        <w:numPr>
          <w:ilvl w:val="2"/>
          <w:numId w:val="6"/>
        </w:numPr>
        <w:rPr>
          <w:lang w:val="en-US"/>
        </w:rPr>
      </w:pPr>
      <w:r w:rsidRPr="45D3A866">
        <w:rPr>
          <w:lang w:val="en-US"/>
        </w:rPr>
        <w:t>Peer Supervision</w:t>
      </w:r>
      <w:r w:rsidR="005C73C4">
        <w:rPr>
          <w:lang w:val="en-US"/>
        </w:rPr>
        <w:t xml:space="preserve"> services</w:t>
      </w:r>
      <w:r w:rsidRPr="45D3A866">
        <w:rPr>
          <w:lang w:val="en-US"/>
        </w:rPr>
        <w:t xml:space="preserve"> shall be provided in accordance with section 6.a.iii.  </w:t>
      </w:r>
    </w:p>
    <w:p w14:paraId="4B86B781" w14:textId="7191CC84" w:rsidR="1A1A5CF0" w:rsidRDefault="1A1A5CF0" w:rsidP="1A1A5CF0">
      <w:pPr>
        <w:rPr>
          <w:lang w:val="en-US"/>
        </w:rPr>
      </w:pPr>
    </w:p>
    <w:p w14:paraId="232B52DC" w14:textId="6685A259" w:rsidR="00BA7FF1" w:rsidRDefault="1C6D0A3E">
      <w:pPr>
        <w:numPr>
          <w:ilvl w:val="1"/>
          <w:numId w:val="6"/>
        </w:numPr>
        <w:rPr>
          <w:i/>
          <w:lang w:val="en-US"/>
        </w:rPr>
      </w:pPr>
      <w:r w:rsidRPr="1A1A5CF0">
        <w:rPr>
          <w:i/>
          <w:iCs/>
          <w:lang w:val="en-US"/>
        </w:rPr>
        <w:t>Certified Peer Workforce</w:t>
      </w:r>
    </w:p>
    <w:p w14:paraId="1E726AED" w14:textId="3C285108" w:rsidR="00BA7FF1" w:rsidRDefault="008549F5" w:rsidP="1A1A5CF0">
      <w:pPr>
        <w:numPr>
          <w:ilvl w:val="2"/>
          <w:numId w:val="6"/>
        </w:numPr>
        <w:rPr>
          <w:i/>
          <w:iCs/>
        </w:rPr>
      </w:pPr>
      <w:r w:rsidRPr="1A1A5CF0">
        <w:rPr>
          <w:i/>
          <w:iCs/>
        </w:rPr>
        <w:t>Certified Peer</w:t>
      </w:r>
      <w:r w:rsidR="5AD36A85" w:rsidRPr="1A1A5CF0">
        <w:rPr>
          <w:i/>
          <w:iCs/>
        </w:rPr>
        <w:t>s</w:t>
      </w:r>
    </w:p>
    <w:p w14:paraId="232B52DF" w14:textId="34D5B3A9" w:rsidR="00BA7FF1" w:rsidRDefault="008549F5">
      <w:pPr>
        <w:numPr>
          <w:ilvl w:val="3"/>
          <w:numId w:val="6"/>
        </w:numPr>
      </w:pPr>
      <w:r w:rsidRPr="6E57E67E">
        <w:rPr>
          <w:lang w:val="en-US"/>
        </w:rPr>
        <w:t xml:space="preserve">The Contractor shall maintain an appropriate number of </w:t>
      </w:r>
      <w:r w:rsidR="63F3E8C8" w:rsidRPr="1A1A5CF0">
        <w:rPr>
          <w:lang w:val="en-US"/>
        </w:rPr>
        <w:t>certified peers</w:t>
      </w:r>
      <w:r w:rsidRPr="6E57E67E">
        <w:rPr>
          <w:lang w:val="en-US"/>
        </w:rPr>
        <w:t xml:space="preserve"> based on the funds in their Contract and the needs of their region. </w:t>
      </w:r>
    </w:p>
    <w:p w14:paraId="0EAD49F4" w14:textId="7F39606F" w:rsidR="00BA7FF1" w:rsidRDefault="008549F5" w:rsidP="1A1A5CF0">
      <w:pPr>
        <w:numPr>
          <w:ilvl w:val="3"/>
          <w:numId w:val="6"/>
        </w:numPr>
        <w:rPr>
          <w:lang w:val="en-US"/>
        </w:rPr>
      </w:pPr>
      <w:r w:rsidRPr="1A1A5CF0">
        <w:rPr>
          <w:lang w:val="en-US"/>
        </w:rPr>
        <w:t xml:space="preserve">The Contractor shall ensure that all </w:t>
      </w:r>
      <w:r w:rsidR="5FCBF4E1" w:rsidRPr="1A1A5CF0">
        <w:rPr>
          <w:lang w:val="en-US"/>
        </w:rPr>
        <w:t>certified peers</w:t>
      </w:r>
      <w:r w:rsidRPr="1A1A5CF0">
        <w:rPr>
          <w:lang w:val="en-US"/>
        </w:rPr>
        <w:t xml:space="preserve"> providing peer services hold current, active peer credentials.</w:t>
      </w:r>
      <w:r w:rsidR="7FD87DEB" w:rsidRPr="1A1A5CF0">
        <w:rPr>
          <w:lang w:val="en-US"/>
        </w:rPr>
        <w:t xml:space="preserve"> </w:t>
      </w:r>
    </w:p>
    <w:p w14:paraId="232B52ED" w14:textId="24DD4E95" w:rsidR="00BA7FF1" w:rsidRDefault="7FD87DEB" w:rsidP="1A1A5CF0">
      <w:pPr>
        <w:numPr>
          <w:ilvl w:val="3"/>
          <w:numId w:val="6"/>
        </w:numPr>
        <w:rPr>
          <w:lang w:val="en-US"/>
        </w:rPr>
      </w:pPr>
      <w:r w:rsidRPr="1A1A5CF0">
        <w:rPr>
          <w:lang w:val="en-US"/>
        </w:rPr>
        <w:t>The Contract</w:t>
      </w:r>
      <w:r w:rsidR="61E69898" w:rsidRPr="1A1A5CF0">
        <w:rPr>
          <w:lang w:val="en-US"/>
        </w:rPr>
        <w:t>or</w:t>
      </w:r>
      <w:r w:rsidRPr="1A1A5CF0">
        <w:rPr>
          <w:lang w:val="en-US"/>
        </w:rPr>
        <w:t xml:space="preserve"> shall ensure that any volunteers utilized for the provision </w:t>
      </w:r>
      <w:r w:rsidR="766E3627" w:rsidRPr="1A1A5CF0">
        <w:rPr>
          <w:lang w:val="en-US"/>
        </w:rPr>
        <w:t xml:space="preserve">of peer services </w:t>
      </w:r>
      <w:r w:rsidRPr="1A1A5CF0">
        <w:rPr>
          <w:lang w:val="en-US"/>
        </w:rPr>
        <w:t>are certified</w:t>
      </w:r>
      <w:r w:rsidR="3B797665" w:rsidRPr="1A1A5CF0">
        <w:rPr>
          <w:lang w:val="en-US"/>
        </w:rPr>
        <w:t>. Volunteers who do not currently hold certification shall be prohibited from performing any certified peer specific duties.</w:t>
      </w:r>
    </w:p>
    <w:p w14:paraId="0D161C27" w14:textId="4521233B" w:rsidR="1A1A5CF0" w:rsidRDefault="1A1A5CF0" w:rsidP="1A1A5CF0">
      <w:pPr>
        <w:rPr>
          <w:lang w:val="en-US"/>
        </w:rPr>
      </w:pPr>
    </w:p>
    <w:p w14:paraId="232B52EE" w14:textId="77777777" w:rsidR="00BA7FF1" w:rsidRDefault="008549F5">
      <w:pPr>
        <w:numPr>
          <w:ilvl w:val="1"/>
          <w:numId w:val="6"/>
        </w:numPr>
        <w:pBdr>
          <w:top w:val="nil"/>
          <w:left w:val="nil"/>
          <w:bottom w:val="nil"/>
          <w:right w:val="nil"/>
          <w:between w:val="nil"/>
        </w:pBdr>
        <w:rPr>
          <w:i/>
        </w:rPr>
      </w:pPr>
      <w:r w:rsidRPr="443CD939">
        <w:rPr>
          <w:i/>
        </w:rPr>
        <w:t>Peer Supervision</w:t>
      </w:r>
    </w:p>
    <w:p w14:paraId="3F5E6BB8" w14:textId="73D7D6B0" w:rsidR="00BA7FF1" w:rsidRDefault="1393ED88" w:rsidP="1A1A5CF0">
      <w:pPr>
        <w:numPr>
          <w:ilvl w:val="2"/>
          <w:numId w:val="6"/>
        </w:numPr>
        <w:pBdr>
          <w:top w:val="nil"/>
          <w:left w:val="nil"/>
          <w:bottom w:val="nil"/>
          <w:right w:val="nil"/>
          <w:between w:val="nil"/>
        </w:pBdr>
        <w:rPr>
          <w:i/>
          <w:iCs/>
          <w:color w:val="000000" w:themeColor="text1"/>
        </w:rPr>
      </w:pPr>
      <w:r w:rsidRPr="1A1A5CF0">
        <w:rPr>
          <w:i/>
          <w:iCs/>
        </w:rPr>
        <w:t>Peer Superviso</w:t>
      </w:r>
      <w:r w:rsidR="128CA106" w:rsidRPr="1A1A5CF0">
        <w:rPr>
          <w:i/>
          <w:iCs/>
        </w:rPr>
        <w:t>r</w:t>
      </w:r>
    </w:p>
    <w:p w14:paraId="232B52F6" w14:textId="17C96A73" w:rsidR="00BA7FF1" w:rsidRDefault="72A8341B" w:rsidP="443CD939">
      <w:pPr>
        <w:numPr>
          <w:ilvl w:val="3"/>
          <w:numId w:val="6"/>
        </w:numPr>
        <w:pBdr>
          <w:top w:val="nil"/>
          <w:left w:val="nil"/>
          <w:bottom w:val="nil"/>
          <w:right w:val="nil"/>
          <w:between w:val="nil"/>
        </w:pBdr>
        <w:rPr>
          <w:color w:val="000000" w:themeColor="text1"/>
          <w:lang w:val="en-US"/>
        </w:rPr>
      </w:pPr>
      <w:r w:rsidRPr="443CD939">
        <w:rPr>
          <w:color w:val="000000" w:themeColor="text1"/>
          <w:lang w:val="en-US"/>
        </w:rPr>
        <w:t>The contractor s</w:t>
      </w:r>
      <w:r w:rsidRPr="443CD939">
        <w:rPr>
          <w:color w:val="000000" w:themeColor="text1"/>
        </w:rPr>
        <w:t>hall ensure that certified peers are supervised by certified peer supervisors including one-on-one supervision</w:t>
      </w:r>
      <w:r w:rsidR="344BB56C" w:rsidRPr="443CD939">
        <w:rPr>
          <w:color w:val="000000" w:themeColor="text1"/>
        </w:rPr>
        <w:t>.</w:t>
      </w:r>
    </w:p>
    <w:p w14:paraId="232B52F7" w14:textId="77777777" w:rsidR="00BA7FF1" w:rsidRDefault="00BA7FF1"/>
    <w:p w14:paraId="232B52FC" w14:textId="77777777" w:rsidR="00BA7FF1" w:rsidRPr="00706766" w:rsidRDefault="008549F5" w:rsidP="00706766">
      <w:pPr>
        <w:numPr>
          <w:ilvl w:val="1"/>
          <w:numId w:val="6"/>
        </w:numPr>
        <w:pBdr>
          <w:top w:val="nil"/>
          <w:left w:val="nil"/>
          <w:bottom w:val="nil"/>
          <w:right w:val="nil"/>
          <w:between w:val="nil"/>
        </w:pBdr>
        <w:rPr>
          <w:color w:val="000000"/>
        </w:rPr>
      </w:pPr>
      <w:r>
        <w:rPr>
          <w:i/>
        </w:rPr>
        <w:t xml:space="preserve">Provision of Ethical Services </w:t>
      </w:r>
    </w:p>
    <w:p w14:paraId="232B52FE" w14:textId="309C4488" w:rsidR="00BA7FF1" w:rsidRDefault="008549F5" w:rsidP="369C5A66">
      <w:pPr>
        <w:numPr>
          <w:ilvl w:val="2"/>
          <w:numId w:val="6"/>
        </w:numPr>
        <w:pBdr>
          <w:top w:val="nil"/>
          <w:left w:val="nil"/>
          <w:bottom w:val="nil"/>
          <w:right w:val="nil"/>
          <w:between w:val="nil"/>
        </w:pBdr>
      </w:pPr>
      <w:r w:rsidRPr="369C5A66">
        <w:rPr>
          <w:lang w:val="en-US"/>
        </w:rPr>
        <w:t xml:space="preserve">The Contractor shall ensure ethical services are provided pursuant to this Contract. The Contractor will demonstrate an understanding of the ethical responsibility of the peer’s professional code of ethics that governs the peer’s certification. </w:t>
      </w:r>
      <w:r w:rsidRPr="369C5A66">
        <w:rPr>
          <w:lang w:val="en-US"/>
        </w:rPr>
        <w:lastRenderedPageBreak/>
        <w:t>This includes regularly reviewing the code of ethics with staff and holding staff accountable to best practices for the role, including actions that may be considered an ethical breach of these standards.</w:t>
      </w:r>
    </w:p>
    <w:p w14:paraId="232B52FF" w14:textId="1712D37E" w:rsidR="00BA7FF1" w:rsidRDefault="008549F5" w:rsidP="7948C4C5">
      <w:pPr>
        <w:numPr>
          <w:ilvl w:val="2"/>
          <w:numId w:val="6"/>
        </w:numPr>
        <w:pBdr>
          <w:top w:val="nil"/>
          <w:left w:val="nil"/>
          <w:bottom w:val="nil"/>
          <w:right w:val="nil"/>
          <w:between w:val="nil"/>
        </w:pBdr>
      </w:pPr>
      <w:r w:rsidRPr="7948C4C5">
        <w:rPr>
          <w:lang w:val="en-US"/>
        </w:rPr>
        <w:t>The Contractor shall establish a clear, accessible reporting mechanism to confidentially report any suspected ethical breaches or concerns. In situations where an ethical breach has been identified, the Contractor shall notify the State within 24 hours of the ethical breach in formal writing. The notification shall include the following information:</w:t>
      </w:r>
    </w:p>
    <w:p w14:paraId="232B5300" w14:textId="77777777" w:rsidR="00BA7FF1" w:rsidRPr="00706766" w:rsidRDefault="008549F5" w:rsidP="00706766">
      <w:pPr>
        <w:numPr>
          <w:ilvl w:val="3"/>
          <w:numId w:val="6"/>
        </w:numPr>
        <w:pBdr>
          <w:top w:val="nil"/>
          <w:left w:val="nil"/>
          <w:bottom w:val="nil"/>
          <w:right w:val="nil"/>
          <w:between w:val="nil"/>
        </w:pBdr>
        <w:rPr>
          <w:color w:val="000000"/>
        </w:rPr>
      </w:pPr>
      <w:r>
        <w:t>Name and certification/training of the individual involved</w:t>
      </w:r>
    </w:p>
    <w:p w14:paraId="232B5301" w14:textId="77777777" w:rsidR="00BA7FF1" w:rsidRPr="00706766" w:rsidRDefault="008549F5" w:rsidP="7948C4C5">
      <w:pPr>
        <w:numPr>
          <w:ilvl w:val="3"/>
          <w:numId w:val="6"/>
        </w:numPr>
        <w:pBdr>
          <w:top w:val="nil"/>
          <w:left w:val="nil"/>
          <w:bottom w:val="nil"/>
          <w:right w:val="nil"/>
          <w:between w:val="nil"/>
        </w:pBdr>
        <w:rPr>
          <w:color w:val="000000"/>
          <w:lang w:val="en-US"/>
        </w:rPr>
      </w:pPr>
      <w:r w:rsidRPr="7948C4C5">
        <w:rPr>
          <w:lang w:val="en-US"/>
        </w:rPr>
        <w:t>Date of the incident identifying the ethical breach</w:t>
      </w:r>
    </w:p>
    <w:p w14:paraId="232B5302" w14:textId="77777777" w:rsidR="00BA7FF1" w:rsidRPr="00706766" w:rsidRDefault="008549F5" w:rsidP="00706766">
      <w:pPr>
        <w:numPr>
          <w:ilvl w:val="3"/>
          <w:numId w:val="6"/>
        </w:numPr>
        <w:pBdr>
          <w:top w:val="nil"/>
          <w:left w:val="nil"/>
          <w:bottom w:val="nil"/>
          <w:right w:val="nil"/>
          <w:between w:val="nil"/>
        </w:pBdr>
        <w:rPr>
          <w:color w:val="000000"/>
        </w:rPr>
      </w:pPr>
      <w:r>
        <w:t>Date of the report to the certification agency</w:t>
      </w:r>
    </w:p>
    <w:p w14:paraId="232B5303" w14:textId="77777777" w:rsidR="00BA7FF1" w:rsidRPr="00706766" w:rsidRDefault="008549F5" w:rsidP="00706766">
      <w:pPr>
        <w:numPr>
          <w:ilvl w:val="3"/>
          <w:numId w:val="6"/>
        </w:numPr>
        <w:pBdr>
          <w:top w:val="nil"/>
          <w:left w:val="nil"/>
          <w:bottom w:val="nil"/>
          <w:right w:val="nil"/>
          <w:between w:val="nil"/>
        </w:pBdr>
        <w:rPr>
          <w:color w:val="000000"/>
        </w:rPr>
      </w:pPr>
      <w:r>
        <w:t>Brief description of the incident and actions taken</w:t>
      </w:r>
    </w:p>
    <w:p w14:paraId="232B5304" w14:textId="7EC2931A" w:rsidR="00BA7FF1" w:rsidRDefault="008549F5" w:rsidP="7948C4C5">
      <w:pPr>
        <w:numPr>
          <w:ilvl w:val="2"/>
          <w:numId w:val="6"/>
        </w:numPr>
        <w:pBdr>
          <w:top w:val="nil"/>
          <w:left w:val="nil"/>
          <w:bottom w:val="nil"/>
          <w:right w:val="nil"/>
          <w:between w:val="nil"/>
        </w:pBdr>
      </w:pPr>
      <w:r w:rsidRPr="7948C4C5">
        <w:rPr>
          <w:lang w:val="en-US"/>
        </w:rPr>
        <w:t xml:space="preserve">The Contractor shall also be required to notify the relevant peer certification agency per certification agency ethics reporting standards within 24 hours. Identified </w:t>
      </w:r>
      <w:r w:rsidR="2F5E29A8" w:rsidRPr="0A48E303">
        <w:rPr>
          <w:lang w:val="en-US"/>
        </w:rPr>
        <w:t>p</w:t>
      </w:r>
      <w:r w:rsidRPr="0A48E303">
        <w:rPr>
          <w:lang w:val="en-US"/>
        </w:rPr>
        <w:t>eers</w:t>
      </w:r>
      <w:r w:rsidRPr="7948C4C5">
        <w:rPr>
          <w:lang w:val="en-US"/>
        </w:rPr>
        <w:t xml:space="preserve"> or Peer Supervisors will not be allowed to provide support services until an ethics investigation is completed.</w:t>
      </w:r>
    </w:p>
    <w:p w14:paraId="232B5308" w14:textId="77777777" w:rsidR="00BA7FF1" w:rsidRDefault="00BA7FF1"/>
    <w:p w14:paraId="232B5309" w14:textId="77777777" w:rsidR="00BA7FF1" w:rsidRPr="00AA3DE4" w:rsidRDefault="008549F5">
      <w:pPr>
        <w:numPr>
          <w:ilvl w:val="0"/>
          <w:numId w:val="4"/>
        </w:numPr>
        <w:rPr>
          <w:b/>
          <w:bCs/>
        </w:rPr>
      </w:pPr>
      <w:r w:rsidRPr="183AE724">
        <w:rPr>
          <w:b/>
          <w:bCs/>
        </w:rPr>
        <w:t>Peer Workforce Development</w:t>
      </w:r>
    </w:p>
    <w:p w14:paraId="16300DE6" w14:textId="569AFF57" w:rsidR="00BA7FF1" w:rsidRDefault="008549F5" w:rsidP="7948C4C5">
      <w:pPr>
        <w:numPr>
          <w:ilvl w:val="1"/>
          <w:numId w:val="4"/>
        </w:numPr>
        <w:rPr>
          <w:b/>
          <w:bCs/>
          <w:lang w:val="en-US"/>
        </w:rPr>
      </w:pPr>
      <w:r w:rsidRPr="443CD939">
        <w:rPr>
          <w:lang w:val="en-US"/>
        </w:rPr>
        <w:t xml:space="preserve">Prospective </w:t>
      </w:r>
      <w:r w:rsidR="0F97BA55" w:rsidRPr="443CD939">
        <w:rPr>
          <w:lang w:val="en-US"/>
        </w:rPr>
        <w:t xml:space="preserve">certified </w:t>
      </w:r>
      <w:r w:rsidR="68079420" w:rsidRPr="443CD939">
        <w:rPr>
          <w:lang w:val="en-US"/>
        </w:rPr>
        <w:t xml:space="preserve">peers </w:t>
      </w:r>
      <w:r w:rsidRPr="443CD939">
        <w:rPr>
          <w:lang w:val="en-US"/>
        </w:rPr>
        <w:t>under this Contract who do not yet hold certification shall be provided a professional peer development plan that includes training and certification within 90 days of that person’s start in their position.</w:t>
      </w:r>
      <w:r w:rsidR="6170CD0B" w:rsidRPr="443CD939">
        <w:rPr>
          <w:lang w:val="en-US"/>
        </w:rPr>
        <w:t xml:space="preserve"> </w:t>
      </w:r>
      <w:r w:rsidRPr="443CD939">
        <w:rPr>
          <w:lang w:val="en-US"/>
        </w:rPr>
        <w:t>The State shall reserve the right to request proof of training completion/award of certification for any professional providing services. This documentation shall be provided to the State within three (3) business days of the initial request.</w:t>
      </w:r>
      <w:r w:rsidR="18CE0FD3" w:rsidRPr="443CD939">
        <w:rPr>
          <w:lang w:val="en-US"/>
        </w:rPr>
        <w:t xml:space="preserve"> Individuals may not provide peer services until certification has been completed.</w:t>
      </w:r>
      <w:r w:rsidR="6B62B37E" w:rsidRPr="443CD939">
        <w:rPr>
          <w:lang w:val="en-US"/>
        </w:rPr>
        <w:t xml:space="preserve"> </w:t>
      </w:r>
      <w:r w:rsidRPr="443CD939">
        <w:rPr>
          <w:lang w:val="en-US"/>
        </w:rPr>
        <w:t xml:space="preserve">The Contractor shall provide ongoing training and development opportunities for </w:t>
      </w:r>
      <w:r w:rsidR="72E53FF1" w:rsidRPr="443CD939">
        <w:rPr>
          <w:lang w:val="en-US"/>
        </w:rPr>
        <w:t>certified peers</w:t>
      </w:r>
      <w:r w:rsidRPr="443CD939">
        <w:rPr>
          <w:lang w:val="en-US"/>
        </w:rPr>
        <w:t xml:space="preserve"> to ensure they remain </w:t>
      </w:r>
      <w:r w:rsidR="6E2BFDE2" w:rsidRPr="443CD939">
        <w:rPr>
          <w:lang w:val="en-US"/>
        </w:rPr>
        <w:t>up to date</w:t>
      </w:r>
      <w:r w:rsidRPr="443CD939">
        <w:rPr>
          <w:lang w:val="en-US"/>
        </w:rPr>
        <w:t xml:space="preserve"> with best practices and emerging trends in peer support services.</w:t>
      </w:r>
    </w:p>
    <w:p w14:paraId="232B530B" w14:textId="6FA1811A" w:rsidR="00BA7FF1" w:rsidRDefault="051FEB87" w:rsidP="7948C4C5">
      <w:pPr>
        <w:numPr>
          <w:ilvl w:val="1"/>
          <w:numId w:val="4"/>
        </w:numPr>
        <w:rPr>
          <w:lang w:val="en-US"/>
        </w:rPr>
      </w:pPr>
      <w:r w:rsidRPr="1A1A5CF0">
        <w:rPr>
          <w:lang w:val="en-US"/>
        </w:rPr>
        <w:t>The contractor shall provide</w:t>
      </w:r>
      <w:r w:rsidR="008549F5" w:rsidRPr="183AE724">
        <w:rPr>
          <w:lang w:val="en-US"/>
        </w:rPr>
        <w:t xml:space="preserve"> regular one-on-one supervision </w:t>
      </w:r>
      <w:r w:rsidRPr="1A1A5CF0">
        <w:rPr>
          <w:lang w:val="en-US"/>
        </w:rPr>
        <w:t>for</w:t>
      </w:r>
      <w:r w:rsidR="680C6AEA" w:rsidRPr="1A1A5CF0">
        <w:rPr>
          <w:lang w:val="en-US"/>
        </w:rPr>
        <w:t xml:space="preserve"> all certified peers. Noting that all certified peers are to be supervised by certified peer supervisors.</w:t>
      </w:r>
      <w:r w:rsidR="008549F5" w:rsidRPr="183AE724">
        <w:rPr>
          <w:lang w:val="en-US"/>
        </w:rPr>
        <w:t xml:space="preserve"> Please see Section 6.a.ii for more details on peer supervision.</w:t>
      </w:r>
    </w:p>
    <w:p w14:paraId="232B530C" w14:textId="78A75348" w:rsidR="00BA7FF1" w:rsidRDefault="008549F5">
      <w:pPr>
        <w:numPr>
          <w:ilvl w:val="1"/>
          <w:numId w:val="4"/>
        </w:numPr>
      </w:pPr>
      <w:r>
        <w:t xml:space="preserve">The Contractor shall regularly evaluate the performance and effectiveness of </w:t>
      </w:r>
      <w:r w:rsidR="244F2C98">
        <w:t>certified peers</w:t>
      </w:r>
      <w:r>
        <w:t xml:space="preserve"> through a structured performance review process. Feedback will be gathered from both peers receiving services and supervising staff to ensure high-quality service delivery and continuous improvement. Performance metrics and outcomes shall be reported to the State as part of the Contractor's regular monthly reporting requirements.</w:t>
      </w:r>
    </w:p>
    <w:p w14:paraId="232B530E" w14:textId="23D653ED" w:rsidR="00BA7FF1" w:rsidRDefault="00BA7FF1" w:rsidP="369C5A66"/>
    <w:p w14:paraId="232B530F" w14:textId="510FF813" w:rsidR="00BA7FF1" w:rsidRDefault="120C2CCD" w:rsidP="0A1C7083">
      <w:pPr>
        <w:numPr>
          <w:ilvl w:val="0"/>
          <w:numId w:val="4"/>
        </w:numPr>
        <w:pBdr>
          <w:top w:val="nil"/>
          <w:left w:val="nil"/>
          <w:bottom w:val="nil"/>
          <w:right w:val="nil"/>
          <w:between w:val="nil"/>
        </w:pBdr>
        <w:rPr>
          <w:i/>
          <w:iCs/>
        </w:rPr>
      </w:pPr>
      <w:r w:rsidRPr="0A1C7083">
        <w:rPr>
          <w:b/>
          <w:bCs/>
        </w:rPr>
        <w:t xml:space="preserve">Additional </w:t>
      </w:r>
      <w:r w:rsidR="525298C7" w:rsidRPr="0A1C7083">
        <w:rPr>
          <w:b/>
          <w:bCs/>
        </w:rPr>
        <w:t>Programming</w:t>
      </w:r>
      <w:r w:rsidR="3AB6211D" w:rsidRPr="0A1C7083">
        <w:rPr>
          <w:b/>
          <w:bCs/>
        </w:rPr>
        <w:t xml:space="preserve"> and </w:t>
      </w:r>
      <w:r w:rsidR="69E4AA4B" w:rsidRPr="0A1C7083">
        <w:rPr>
          <w:b/>
          <w:bCs/>
        </w:rPr>
        <w:t>Relationship</w:t>
      </w:r>
      <w:r w:rsidR="525298C7" w:rsidRPr="0A1C7083">
        <w:rPr>
          <w:i/>
          <w:iCs/>
        </w:rPr>
        <w:t xml:space="preserve"> </w:t>
      </w:r>
      <w:r w:rsidR="525298C7" w:rsidRPr="0A1C7083">
        <w:rPr>
          <w:b/>
          <w:bCs/>
        </w:rPr>
        <w:t>Requirements</w:t>
      </w:r>
      <w:r w:rsidR="525298C7" w:rsidRPr="0A1C7083">
        <w:rPr>
          <w:i/>
          <w:iCs/>
        </w:rPr>
        <w:t xml:space="preserve"> </w:t>
      </w:r>
    </w:p>
    <w:p w14:paraId="193BBD0C" w14:textId="5ECC91E1" w:rsidR="008549F5" w:rsidRDefault="2BB690E4" w:rsidP="443CD939">
      <w:pPr>
        <w:numPr>
          <w:ilvl w:val="1"/>
          <w:numId w:val="4"/>
        </w:numPr>
        <w:pBdr>
          <w:top w:val="nil"/>
          <w:left w:val="nil"/>
          <w:bottom w:val="nil"/>
          <w:right w:val="nil"/>
          <w:between w:val="nil"/>
        </w:pBdr>
        <w:rPr>
          <w:i/>
          <w:iCs/>
        </w:rPr>
      </w:pPr>
      <w:r w:rsidRPr="443CD939">
        <w:rPr>
          <w:i/>
          <w:iCs/>
        </w:rPr>
        <w:t xml:space="preserve">Required Relationships </w:t>
      </w:r>
    </w:p>
    <w:p w14:paraId="6F01E769" w14:textId="442411A4" w:rsidR="6209C36B" w:rsidRDefault="6209C36B" w:rsidP="1A1A5CF0">
      <w:pPr>
        <w:numPr>
          <w:ilvl w:val="2"/>
          <w:numId w:val="4"/>
        </w:numPr>
        <w:pBdr>
          <w:top w:val="nil"/>
          <w:left w:val="nil"/>
          <w:bottom w:val="nil"/>
          <w:right w:val="nil"/>
          <w:between w:val="nil"/>
        </w:pBdr>
        <w:rPr>
          <w:lang w:val="en-US"/>
        </w:rPr>
      </w:pPr>
      <w:r w:rsidRPr="1A1A5CF0">
        <w:rPr>
          <w:lang w:val="en-US"/>
        </w:rPr>
        <w:t xml:space="preserve">The Contractor shall establish and maintain relationships with the following organizations to provide peer support services and/or warm hand offs as appropriate: Opioid Treatment Programs, local jails in their region, </w:t>
      </w:r>
      <w:r w:rsidR="1F69F36E" w:rsidRPr="1A1A5CF0">
        <w:rPr>
          <w:lang w:val="en-US"/>
        </w:rPr>
        <w:t>Integrated Reentry and Correctional Support (IRACS) programs</w:t>
      </w:r>
      <w:r w:rsidR="0A1CDA4C" w:rsidRPr="1A1A5CF0">
        <w:rPr>
          <w:lang w:val="en-US"/>
        </w:rPr>
        <w:t xml:space="preserve"> where present in a region, trauma-informed recovery-oriented system of care initiatives, local syringe service programs, and/or harm reduction agencies.</w:t>
      </w:r>
      <w:r w:rsidR="4D6D6F95" w:rsidRPr="1A1A5CF0">
        <w:rPr>
          <w:lang w:val="en-US"/>
        </w:rPr>
        <w:t xml:space="preserve"> </w:t>
      </w:r>
    </w:p>
    <w:p w14:paraId="5F2B954F" w14:textId="4E56C5D2" w:rsidR="4D6D6F95" w:rsidRDefault="4D6D6F95" w:rsidP="1A1A5CF0">
      <w:pPr>
        <w:numPr>
          <w:ilvl w:val="2"/>
          <w:numId w:val="4"/>
        </w:numPr>
        <w:pBdr>
          <w:top w:val="nil"/>
          <w:left w:val="nil"/>
          <w:bottom w:val="nil"/>
          <w:right w:val="nil"/>
          <w:between w:val="nil"/>
        </w:pBdr>
      </w:pPr>
      <w:r>
        <w:t>The Contractor shall coordinate with the Indiana Department of Corrections (“IDOC”) to receive referrals for those leaving IDOC in their local region.</w:t>
      </w:r>
    </w:p>
    <w:p w14:paraId="484589B3" w14:textId="7EF930E3" w:rsidR="4D6D6F95" w:rsidRDefault="4D6D6F95" w:rsidP="1A1A5CF0">
      <w:pPr>
        <w:numPr>
          <w:ilvl w:val="2"/>
          <w:numId w:val="4"/>
        </w:numPr>
        <w:pBdr>
          <w:top w:val="nil"/>
          <w:left w:val="nil"/>
          <w:bottom w:val="nil"/>
          <w:right w:val="nil"/>
          <w:between w:val="nil"/>
        </w:pBdr>
      </w:pPr>
      <w:r w:rsidRPr="1A1A5CF0">
        <w:rPr>
          <w:lang w:val="en-US"/>
        </w:rPr>
        <w:t>The Contractor shall develop a referral process in partnership with the local justice system stakeholders and share the developed partnerships with the State.</w:t>
      </w:r>
      <w:r w:rsidR="1F69F36E" w:rsidRPr="1A1A5CF0">
        <w:rPr>
          <w:lang w:val="en-US"/>
        </w:rPr>
        <w:t xml:space="preserve"> </w:t>
      </w:r>
    </w:p>
    <w:p w14:paraId="5E61E6F2" w14:textId="4925AD36" w:rsidR="0008386E" w:rsidRPr="00755B88" w:rsidRDefault="29144C68" w:rsidP="0008386E">
      <w:pPr>
        <w:numPr>
          <w:ilvl w:val="1"/>
          <w:numId w:val="4"/>
        </w:numPr>
        <w:pBdr>
          <w:top w:val="nil"/>
          <w:left w:val="nil"/>
          <w:bottom w:val="nil"/>
          <w:right w:val="nil"/>
          <w:between w:val="nil"/>
        </w:pBdr>
        <w:rPr>
          <w:i/>
          <w:iCs/>
        </w:rPr>
      </w:pPr>
      <w:r w:rsidRPr="443CD939">
        <w:rPr>
          <w:i/>
          <w:iCs/>
        </w:rPr>
        <w:t>Harm Reduction Supplies</w:t>
      </w:r>
    </w:p>
    <w:p w14:paraId="232B5313" w14:textId="095E4AFF" w:rsidR="00BA7FF1" w:rsidRDefault="008549F5" w:rsidP="443CD939">
      <w:pPr>
        <w:numPr>
          <w:ilvl w:val="2"/>
          <w:numId w:val="4"/>
        </w:numPr>
        <w:rPr>
          <w:lang w:val="en-US"/>
        </w:rPr>
      </w:pPr>
      <w:r w:rsidRPr="183AE724">
        <w:rPr>
          <w:lang w:val="en-US"/>
        </w:rPr>
        <w:t xml:space="preserve">The Contractor shall ensure the availability and distribution of </w:t>
      </w:r>
      <w:r w:rsidR="0C048AAC" w:rsidRPr="443CD939">
        <w:rPr>
          <w:lang w:val="en-US"/>
        </w:rPr>
        <w:t>harm reduction supplies, including Narcan and fentanyl testing strips.</w:t>
      </w:r>
      <w:r w:rsidRPr="183AE724">
        <w:rPr>
          <w:lang w:val="en-US"/>
        </w:rPr>
        <w:t xml:space="preserve"> The Contractor will ensure that staff are trained in administering </w:t>
      </w:r>
      <w:r w:rsidR="764DE813" w:rsidRPr="443CD939">
        <w:rPr>
          <w:lang w:val="en-US"/>
        </w:rPr>
        <w:t>harm reductio</w:t>
      </w:r>
      <w:r w:rsidR="13C9578F" w:rsidRPr="443CD939">
        <w:rPr>
          <w:lang w:val="en-US"/>
        </w:rPr>
        <w:t>n</w:t>
      </w:r>
      <w:r w:rsidR="764DE813" w:rsidRPr="443CD939">
        <w:rPr>
          <w:lang w:val="en-US"/>
        </w:rPr>
        <w:t xml:space="preserve"> supplies</w:t>
      </w:r>
      <w:r w:rsidRPr="443CD939">
        <w:rPr>
          <w:lang w:val="en-US"/>
        </w:rPr>
        <w:t>.</w:t>
      </w:r>
    </w:p>
    <w:p w14:paraId="3510E74A" w14:textId="5E21A7EA" w:rsidR="60B680BA" w:rsidRDefault="60B680BA" w:rsidP="369C5A66">
      <w:pPr>
        <w:numPr>
          <w:ilvl w:val="1"/>
          <w:numId w:val="4"/>
        </w:numPr>
        <w:pBdr>
          <w:top w:val="nil"/>
          <w:left w:val="nil"/>
          <w:bottom w:val="nil"/>
          <w:right w:val="nil"/>
          <w:between w:val="nil"/>
        </w:pBdr>
        <w:rPr>
          <w:lang w:val="en-US"/>
        </w:rPr>
      </w:pPr>
      <w:r w:rsidRPr="1A1A5CF0">
        <w:rPr>
          <w:i/>
          <w:lang w:val="en-US"/>
        </w:rPr>
        <w:t>2-1-1 Coordination Requirements</w:t>
      </w:r>
      <w:r w:rsidRPr="183AE724">
        <w:rPr>
          <w:lang w:val="en-US"/>
        </w:rPr>
        <w:t xml:space="preserve"> </w:t>
      </w:r>
      <w:r w:rsidR="000E27F8">
        <w:rPr>
          <w:lang w:val="en-US"/>
        </w:rPr>
        <w:t>(</w:t>
      </w:r>
      <w:r w:rsidR="000E27F8">
        <w:rPr>
          <w:i/>
          <w:iCs/>
          <w:lang w:val="en-US"/>
        </w:rPr>
        <w:t>Note: this responsibility will not be part of all Hub contracts</w:t>
      </w:r>
      <w:r w:rsidR="006F2E0C">
        <w:rPr>
          <w:lang w:val="en-US"/>
        </w:rPr>
        <w:t>).</w:t>
      </w:r>
    </w:p>
    <w:p w14:paraId="0429214C" w14:textId="13B38567" w:rsidR="60B680BA" w:rsidRDefault="60B680BA" w:rsidP="369C5A66">
      <w:pPr>
        <w:pStyle w:val="ListParagraph"/>
        <w:numPr>
          <w:ilvl w:val="2"/>
          <w:numId w:val="4"/>
        </w:numPr>
        <w:pBdr>
          <w:top w:val="nil"/>
          <w:left w:val="nil"/>
          <w:bottom w:val="nil"/>
          <w:right w:val="nil"/>
          <w:between w:val="nil"/>
        </w:pBdr>
        <w:rPr>
          <w:lang w:val="en-US"/>
        </w:rPr>
      </w:pPr>
      <w:r w:rsidRPr="183AE724">
        <w:rPr>
          <w:lang w:val="en-US"/>
        </w:rPr>
        <w:t>The State is seeking a Contractor</w:t>
      </w:r>
      <w:r w:rsidR="001614F8">
        <w:rPr>
          <w:lang w:val="en-US"/>
        </w:rPr>
        <w:t>(s)</w:t>
      </w:r>
      <w:r w:rsidRPr="183AE724">
        <w:rPr>
          <w:lang w:val="en-US"/>
        </w:rPr>
        <w:t>, who is ultimately selected as a Hub, to work with Indiana's 2-1-1 service to provide 24-hour statewide peer support, seven days a week. Indiana’s 2-1-1 service is a 24-hour hotline that provides</w:t>
      </w:r>
      <w:r w:rsidR="00B17A03">
        <w:rPr>
          <w:lang w:val="en-US"/>
        </w:rPr>
        <w:t>, among other things,</w:t>
      </w:r>
      <w:r w:rsidRPr="183AE724">
        <w:rPr>
          <w:lang w:val="en-US"/>
        </w:rPr>
        <w:t xml:space="preserve"> free and confidential information and referrals to Hoosiers for health and human services. The three</w:t>
      </w:r>
      <w:r w:rsidR="006F2E0C">
        <w:rPr>
          <w:lang w:val="en-US"/>
        </w:rPr>
        <w:t xml:space="preserve"> or more</w:t>
      </w:r>
      <w:r w:rsidRPr="183AE724">
        <w:rPr>
          <w:lang w:val="en-US"/>
        </w:rPr>
        <w:t xml:space="preserve"> Contractors will collaborate with Indiana 2-1-1 to guarantee the provision of adequate peer support coverage on the hotline. </w:t>
      </w:r>
    </w:p>
    <w:p w14:paraId="485944E6" w14:textId="0F19BC0B" w:rsidR="60B680BA" w:rsidRDefault="60B680BA" w:rsidP="6E57E67E">
      <w:pPr>
        <w:pStyle w:val="ListParagraph"/>
        <w:numPr>
          <w:ilvl w:val="2"/>
          <w:numId w:val="4"/>
        </w:numPr>
        <w:pBdr>
          <w:top w:val="nil"/>
          <w:left w:val="nil"/>
          <w:bottom w:val="nil"/>
          <w:right w:val="nil"/>
          <w:between w:val="nil"/>
        </w:pBdr>
        <w:rPr>
          <w:lang w:val="en-US"/>
        </w:rPr>
      </w:pPr>
      <w:r w:rsidRPr="183AE724">
        <w:rPr>
          <w:lang w:val="en-US"/>
        </w:rPr>
        <w:t xml:space="preserve">The three </w:t>
      </w:r>
      <w:r w:rsidR="001614F8">
        <w:rPr>
          <w:lang w:val="en-US"/>
        </w:rPr>
        <w:t xml:space="preserve">or more </w:t>
      </w:r>
      <w:r w:rsidRPr="183AE724">
        <w:rPr>
          <w:lang w:val="en-US"/>
        </w:rPr>
        <w:t xml:space="preserve">Contractor shall oversee the implementation of various duties related to peer support services. This includes validating that all peers working on the 2-1-1 line are trained and certified based on state standards. Peers must have completed Mental Health First Aid training to ensure they are equipped to provide effective support and referrals. The Contractor shall also monitor the completion of QPR (Question, Persuade, and Refer) training for peers to effectively respond to individuals at risk of suicide. The Contractor is responsible for ensuring that peers receive ongoing training and professional development opportunities to maintain their skills and knowledge. </w:t>
      </w:r>
    </w:p>
    <w:p w14:paraId="013E102B" w14:textId="518E179E" w:rsidR="60B680BA" w:rsidRDefault="60B680BA" w:rsidP="369C5A66">
      <w:pPr>
        <w:pStyle w:val="ListParagraph"/>
        <w:numPr>
          <w:ilvl w:val="2"/>
          <w:numId w:val="4"/>
        </w:numPr>
        <w:pBdr>
          <w:top w:val="nil"/>
          <w:left w:val="nil"/>
          <w:bottom w:val="nil"/>
          <w:right w:val="nil"/>
          <w:between w:val="nil"/>
        </w:pBdr>
        <w:rPr>
          <w:lang w:val="en-US"/>
        </w:rPr>
      </w:pPr>
      <w:r w:rsidRPr="183AE724">
        <w:rPr>
          <w:lang w:val="en-US"/>
        </w:rPr>
        <w:t>Respondents interested in serving as one (1) of the Contractors supporting Indiana’s 2-1-1 service shall identify themselves in the Technical Proposal (Attachment D)</w:t>
      </w:r>
      <w:r w:rsidR="001950C4">
        <w:rPr>
          <w:lang w:val="en-US"/>
        </w:rPr>
        <w:t xml:space="preserve"> for further consideration.</w:t>
      </w:r>
    </w:p>
    <w:p w14:paraId="5FFF8C71" w14:textId="1BEED879" w:rsidR="369C5A66" w:rsidRDefault="369C5A66" w:rsidP="369C5A66">
      <w:pPr>
        <w:pBdr>
          <w:top w:val="nil"/>
          <w:left w:val="nil"/>
          <w:bottom w:val="nil"/>
          <w:right w:val="nil"/>
          <w:between w:val="nil"/>
        </w:pBdr>
        <w:rPr>
          <w:lang w:val="en-US"/>
        </w:rPr>
      </w:pPr>
    </w:p>
    <w:p w14:paraId="7D46FB92" w14:textId="6099B48C" w:rsidR="00916709" w:rsidRDefault="00916709" w:rsidP="1A1A5CF0">
      <w:pPr>
        <w:ind w:left="1440"/>
      </w:pPr>
    </w:p>
    <w:p w14:paraId="535333D1" w14:textId="77777777" w:rsidR="00B017BB" w:rsidRDefault="00B017BB" w:rsidP="1A1A5CF0">
      <w:pPr>
        <w:ind w:left="1440"/>
      </w:pPr>
    </w:p>
    <w:p w14:paraId="709183DA" w14:textId="77777777" w:rsidR="00B017BB" w:rsidRDefault="00B017BB" w:rsidP="1A1A5CF0">
      <w:pPr>
        <w:ind w:left="1440"/>
      </w:pPr>
    </w:p>
    <w:p w14:paraId="232B5329" w14:textId="77777777" w:rsidR="00BA7FF1" w:rsidRPr="00D708A6" w:rsidRDefault="008549F5" w:rsidP="00D708A6">
      <w:pPr>
        <w:numPr>
          <w:ilvl w:val="0"/>
          <w:numId w:val="4"/>
        </w:numPr>
        <w:pBdr>
          <w:top w:val="nil"/>
          <w:left w:val="nil"/>
          <w:bottom w:val="nil"/>
          <w:right w:val="nil"/>
          <w:between w:val="nil"/>
        </w:pBdr>
        <w:rPr>
          <w:b/>
        </w:rPr>
      </w:pPr>
      <w:r w:rsidRPr="183AE724">
        <w:rPr>
          <w:b/>
          <w:bCs/>
        </w:rPr>
        <w:t>Referral Process</w:t>
      </w:r>
    </w:p>
    <w:p w14:paraId="575F9BD0" w14:textId="3A9EDCF7" w:rsidR="003C2E4D" w:rsidRDefault="1393ED88" w:rsidP="128777B9">
      <w:pPr>
        <w:numPr>
          <w:ilvl w:val="1"/>
          <w:numId w:val="4"/>
        </w:numPr>
        <w:pBdr>
          <w:top w:val="nil"/>
          <w:left w:val="nil"/>
          <w:bottom w:val="nil"/>
          <w:right w:val="nil"/>
          <w:between w:val="nil"/>
        </w:pBdr>
      </w:pPr>
      <w:r w:rsidRPr="183AE724">
        <w:rPr>
          <w:lang w:val="en-US"/>
        </w:rPr>
        <w:t xml:space="preserve">If a recoveree’s needs cannot be met by the Contractor, </w:t>
      </w:r>
      <w:r w:rsidR="581E3A98" w:rsidRPr="183AE724">
        <w:rPr>
          <w:lang w:val="en-US"/>
        </w:rPr>
        <w:t xml:space="preserve">Contractor shall make </w:t>
      </w:r>
      <w:r w:rsidRPr="183AE724">
        <w:rPr>
          <w:lang w:val="en-US"/>
        </w:rPr>
        <w:t xml:space="preserve">a warm handoff to a formalized partner; services are not to be denied to </w:t>
      </w:r>
      <w:r w:rsidR="2943D8EE" w:rsidRPr="183AE724">
        <w:rPr>
          <w:lang w:val="en-US"/>
        </w:rPr>
        <w:t>participants</w:t>
      </w:r>
      <w:r w:rsidRPr="183AE724">
        <w:rPr>
          <w:lang w:val="en-US"/>
        </w:rPr>
        <w:t xml:space="preserve">. The Contractor shall ensure that referrals to a formalized partner for recovery support services are made immediately once identified with the recoveree. The Contractor shall establish a streamlined referral process to ensure that </w:t>
      </w:r>
      <w:r w:rsidR="2943D8EE" w:rsidRPr="183AE724">
        <w:rPr>
          <w:lang w:val="en-US"/>
        </w:rPr>
        <w:t>participants</w:t>
      </w:r>
      <w:r w:rsidRPr="183AE724">
        <w:rPr>
          <w:lang w:val="en-US"/>
        </w:rPr>
        <w:t xml:space="preserve"> are promptly connected to the appropriate services and resources. This process must involve assessing the recoveree's needs and preferences, identifying suitable support options, and facilitating referrals to partner organizations or agencies as necessary.</w:t>
      </w:r>
    </w:p>
    <w:p w14:paraId="232B532B" w14:textId="61364E57" w:rsidR="00BA7FF1" w:rsidRDefault="1393ED88" w:rsidP="128777B9">
      <w:pPr>
        <w:numPr>
          <w:ilvl w:val="1"/>
          <w:numId w:val="4"/>
        </w:numPr>
        <w:pBdr>
          <w:top w:val="nil"/>
          <w:left w:val="nil"/>
          <w:bottom w:val="nil"/>
          <w:right w:val="nil"/>
          <w:between w:val="nil"/>
        </w:pBdr>
      </w:pPr>
      <w:r w:rsidRPr="183AE724">
        <w:rPr>
          <w:lang w:val="en-US"/>
        </w:rPr>
        <w:t xml:space="preserve">The referral process shall prioritize continuity of care and optimal outcomes for </w:t>
      </w:r>
      <w:r w:rsidR="2943D8EE" w:rsidRPr="183AE724">
        <w:rPr>
          <w:lang w:val="en-US"/>
        </w:rPr>
        <w:t>participants</w:t>
      </w:r>
      <w:r w:rsidRPr="183AE724">
        <w:rPr>
          <w:lang w:val="en-US"/>
        </w:rPr>
        <w:t xml:space="preserve">. This includes maintaining regular contact with referral partners to track progress, address any issues or concerns, and provide ongoing support to </w:t>
      </w:r>
      <w:r w:rsidR="2943D8EE" w:rsidRPr="183AE724">
        <w:rPr>
          <w:lang w:val="en-US"/>
        </w:rPr>
        <w:t>participants</w:t>
      </w:r>
      <w:r w:rsidRPr="183AE724">
        <w:rPr>
          <w:lang w:val="en-US"/>
        </w:rPr>
        <w:t xml:space="preserve"> throughout their recovery journey.</w:t>
      </w:r>
    </w:p>
    <w:p w14:paraId="232B532C" w14:textId="77777777" w:rsidR="00BA7FF1" w:rsidRDefault="008549F5" w:rsidP="7948C4C5">
      <w:pPr>
        <w:numPr>
          <w:ilvl w:val="1"/>
          <w:numId w:val="4"/>
        </w:numPr>
        <w:pBdr>
          <w:top w:val="nil"/>
          <w:left w:val="nil"/>
          <w:bottom w:val="nil"/>
          <w:right w:val="nil"/>
          <w:between w:val="nil"/>
        </w:pBdr>
      </w:pPr>
      <w:r w:rsidRPr="183AE724">
        <w:rPr>
          <w:lang w:val="en-US"/>
        </w:rPr>
        <w:t xml:space="preserve">The Contractor shall document all referrals and follow-up actions taken, including outcomes and any additional support provided. If recovery supports are offered beyond 5-7 days or 3 episodes of services, then Government Performance and Results Act (“GPRA”) data shall be collected by the Contractor and entered into DMHA Electronic Billing System (“DEBS”) for each person receiving services. </w:t>
      </w:r>
    </w:p>
    <w:p w14:paraId="232B532E" w14:textId="77777777" w:rsidR="00BA7FF1" w:rsidRDefault="00BA7FF1">
      <w:pPr>
        <w:ind w:left="2880"/>
      </w:pPr>
    </w:p>
    <w:p w14:paraId="232B532F" w14:textId="77777777" w:rsidR="00BA7FF1" w:rsidRPr="00742399" w:rsidRDefault="008549F5" w:rsidP="45D3A866">
      <w:pPr>
        <w:numPr>
          <w:ilvl w:val="0"/>
          <w:numId w:val="4"/>
        </w:numPr>
        <w:pBdr>
          <w:top w:val="nil"/>
          <w:left w:val="nil"/>
          <w:bottom w:val="nil"/>
          <w:right w:val="nil"/>
          <w:between w:val="nil"/>
        </w:pBdr>
        <w:rPr>
          <w:b/>
          <w:bCs/>
        </w:rPr>
      </w:pPr>
      <w:r w:rsidRPr="45D3A866">
        <w:rPr>
          <w:b/>
          <w:bCs/>
        </w:rPr>
        <w:t xml:space="preserve">Ridesharing Services </w:t>
      </w:r>
    </w:p>
    <w:p w14:paraId="7CC9868E" w14:textId="7B21764D" w:rsidR="00BA7FF1" w:rsidRDefault="008549F5" w:rsidP="1A1A5CF0">
      <w:pPr>
        <w:numPr>
          <w:ilvl w:val="1"/>
          <w:numId w:val="4"/>
        </w:numPr>
        <w:pBdr>
          <w:top w:val="nil"/>
          <w:left w:val="nil"/>
          <w:bottom w:val="nil"/>
          <w:right w:val="nil"/>
          <w:between w:val="nil"/>
        </w:pBdr>
        <w:rPr>
          <w:lang w:val="en-US"/>
        </w:rPr>
      </w:pPr>
      <w:r w:rsidRPr="183AE724">
        <w:rPr>
          <w:lang w:val="en-US"/>
        </w:rPr>
        <w:t xml:space="preserve">The Contractor shall oversee the coordination of ridesharing services, prioritizing individuals in a work release program or exiting incarceration who are in need of employment, IDs, other job-related support, or re-entry-related life support. The ridesharing services shall be made available to all individuals identified as in recovery and needing transportation to support any of SAMHSA’s four dimensions of recovery (health, home, purpose, community). </w:t>
      </w:r>
    </w:p>
    <w:p w14:paraId="232B5330" w14:textId="4B8A80B7" w:rsidR="00BA7FF1" w:rsidRDefault="008549F5" w:rsidP="1A1A5CF0">
      <w:pPr>
        <w:numPr>
          <w:ilvl w:val="1"/>
          <w:numId w:val="4"/>
        </w:numPr>
        <w:rPr>
          <w:lang w:val="en-US"/>
        </w:rPr>
      </w:pPr>
      <w:r w:rsidRPr="183AE724">
        <w:rPr>
          <w:lang w:val="en-US"/>
        </w:rPr>
        <w:t xml:space="preserve">The Contractor shall </w:t>
      </w:r>
      <w:r w:rsidR="5A8029D1" w:rsidRPr="1A1A5CF0">
        <w:rPr>
          <w:lang w:val="en-US"/>
        </w:rPr>
        <w:t>coordinate with Lyft</w:t>
      </w:r>
      <w:r w:rsidR="6F4047D8" w:rsidRPr="1A1A5CF0">
        <w:rPr>
          <w:lang w:val="en-US"/>
        </w:rPr>
        <w:t>,</w:t>
      </w:r>
      <w:r w:rsidRPr="183AE724">
        <w:rPr>
          <w:lang w:val="en-US"/>
        </w:rPr>
        <w:t xml:space="preserve"> the </w:t>
      </w:r>
      <w:r w:rsidR="6F4047D8" w:rsidRPr="1A1A5CF0">
        <w:rPr>
          <w:lang w:val="en-US"/>
        </w:rPr>
        <w:t>state approved</w:t>
      </w:r>
      <w:r w:rsidRPr="183AE724">
        <w:rPr>
          <w:lang w:val="en-US"/>
        </w:rPr>
        <w:t xml:space="preserve"> ridesharing </w:t>
      </w:r>
      <w:r w:rsidR="6F4047D8" w:rsidRPr="1A1A5CF0">
        <w:rPr>
          <w:lang w:val="en-US"/>
        </w:rPr>
        <w:t xml:space="preserve">services </w:t>
      </w:r>
      <w:r w:rsidRPr="183AE724">
        <w:rPr>
          <w:lang w:val="en-US"/>
        </w:rPr>
        <w:t>transportation vendor</w:t>
      </w:r>
      <w:r w:rsidR="6F4047D8" w:rsidRPr="1A1A5CF0">
        <w:rPr>
          <w:lang w:val="en-US"/>
        </w:rPr>
        <w:t xml:space="preserve">. </w:t>
      </w:r>
      <w:r w:rsidR="00F72E0D">
        <w:rPr>
          <w:lang w:val="en-US"/>
        </w:rPr>
        <w:t>In the event the State elects to use a different vendor for this purpose, Contractor shall coordinate with the new vendor.</w:t>
      </w:r>
    </w:p>
    <w:p w14:paraId="009DE738" w14:textId="7FA5F631" w:rsidR="00F303C9" w:rsidRDefault="00F303C9" w:rsidP="00742399">
      <w:pPr>
        <w:numPr>
          <w:ilvl w:val="1"/>
          <w:numId w:val="4"/>
        </w:numPr>
        <w:pBdr>
          <w:top w:val="nil"/>
          <w:left w:val="nil"/>
          <w:bottom w:val="nil"/>
          <w:right w:val="nil"/>
          <w:between w:val="nil"/>
        </w:pBdr>
      </w:pPr>
      <w:r w:rsidRPr="1A1A5CF0">
        <w:rPr>
          <w:lang w:val="en-US"/>
        </w:rPr>
        <w:t xml:space="preserve">Where </w:t>
      </w:r>
      <w:r w:rsidR="00A325FE" w:rsidRPr="1A1A5CF0">
        <w:rPr>
          <w:lang w:val="en-US"/>
        </w:rPr>
        <w:t>practicable</w:t>
      </w:r>
      <w:r w:rsidRPr="1A1A5CF0">
        <w:rPr>
          <w:lang w:val="en-US"/>
        </w:rPr>
        <w:t>, Contractor is encouraged to help individuals utilize cost effective options like public transportation.</w:t>
      </w:r>
    </w:p>
    <w:p w14:paraId="1530B6BA" w14:textId="55F70594" w:rsidR="00742399" w:rsidRDefault="008549F5" w:rsidP="00742399">
      <w:pPr>
        <w:numPr>
          <w:ilvl w:val="1"/>
          <w:numId w:val="4"/>
        </w:numPr>
        <w:pBdr>
          <w:top w:val="nil"/>
          <w:left w:val="nil"/>
          <w:bottom w:val="nil"/>
          <w:right w:val="nil"/>
          <w:between w:val="nil"/>
        </w:pBdr>
      </w:pPr>
      <w:r>
        <w:t xml:space="preserve">The Contractor shall ensure the following duties and requirements are adhered to: </w:t>
      </w:r>
    </w:p>
    <w:p w14:paraId="1A108633" w14:textId="10C024F0" w:rsidR="009D5FC4" w:rsidRDefault="1393ED88" w:rsidP="128777B9">
      <w:pPr>
        <w:numPr>
          <w:ilvl w:val="2"/>
          <w:numId w:val="4"/>
        </w:numPr>
        <w:pBdr>
          <w:top w:val="nil"/>
          <w:left w:val="nil"/>
          <w:bottom w:val="nil"/>
          <w:right w:val="nil"/>
          <w:between w:val="nil"/>
        </w:pBdr>
      </w:pPr>
      <w:r>
        <w:t>Participants must be 18 years or older to access ridesharing transportation services through the Contractor. The Contractor will ensure that rides can be scheduled on-demand or up to 72 hours in advance through the 2</w:t>
      </w:r>
      <w:r w:rsidR="0ADED406">
        <w:t>-</w:t>
      </w:r>
      <w:r>
        <w:t xml:space="preserve">11 peer </w:t>
      </w:r>
      <w:r w:rsidR="5E9BEA34">
        <w:t>support</w:t>
      </w:r>
      <w:r>
        <w:t xml:space="preserve"> line agents/operators.</w:t>
      </w:r>
    </w:p>
    <w:p w14:paraId="5BEA517C" w14:textId="77777777" w:rsidR="00514AB2" w:rsidRDefault="008549F5" w:rsidP="7948C4C5">
      <w:pPr>
        <w:numPr>
          <w:ilvl w:val="2"/>
          <w:numId w:val="4"/>
        </w:numPr>
        <w:pBdr>
          <w:top w:val="nil"/>
          <w:left w:val="nil"/>
          <w:bottom w:val="nil"/>
          <w:right w:val="nil"/>
          <w:between w:val="nil"/>
        </w:pBdr>
      </w:pPr>
      <w:r w:rsidRPr="183AE724">
        <w:rPr>
          <w:lang w:val="en-US"/>
        </w:rPr>
        <w:t>The Contractor shall establish a policy to ensure that riders using this transportation are accessing resources to engage in their individual recovery process and ensure that no other funding, such as Medicaid, is available as the primary payor source. If Medicaid transportation is unavailable due to a lack of driver availability or immediacy of transportation needs, the Contractor may access their ridesharing transportation vendor once an assessment is completed.</w:t>
      </w:r>
    </w:p>
    <w:p w14:paraId="4550DED4" w14:textId="77777777" w:rsidR="00BD7C83" w:rsidRDefault="008549F5" w:rsidP="7948C4C5">
      <w:pPr>
        <w:numPr>
          <w:ilvl w:val="2"/>
          <w:numId w:val="4"/>
        </w:numPr>
        <w:pBdr>
          <w:top w:val="nil"/>
          <w:left w:val="nil"/>
          <w:bottom w:val="nil"/>
          <w:right w:val="nil"/>
          <w:between w:val="nil"/>
        </w:pBdr>
      </w:pPr>
      <w:r w:rsidRPr="183AE724">
        <w:rPr>
          <w:lang w:val="en-US"/>
        </w:rPr>
        <w:t xml:space="preserve">Once it has been determined by the peer workforce that the recoveree is ineligible for other transportation funding sources, a ridesharing assessment shall be conducted in </w:t>
      </w:r>
      <w:proofErr w:type="spellStart"/>
      <w:r w:rsidRPr="183AE724">
        <w:rPr>
          <w:lang w:val="en-US"/>
        </w:rPr>
        <w:t>RecoveryLink</w:t>
      </w:r>
      <w:proofErr w:type="spellEnd"/>
      <w:r w:rsidRPr="183AE724">
        <w:rPr>
          <w:lang w:val="en-US"/>
        </w:rPr>
        <w:t xml:space="preserve"> to ensure the individual meets the criteria to access this resource. Once the Contractor has completed the initial assessment with the individual, the Contractor shall complete the brief ridesharing assessment update in </w:t>
      </w:r>
      <w:proofErr w:type="spellStart"/>
      <w:r w:rsidRPr="183AE724">
        <w:rPr>
          <w:lang w:val="en-US"/>
        </w:rPr>
        <w:t>RecoveryLink</w:t>
      </w:r>
      <w:proofErr w:type="spellEnd"/>
      <w:r w:rsidRPr="183AE724">
        <w:rPr>
          <w:lang w:val="en-US"/>
        </w:rPr>
        <w:t xml:space="preserve"> for each subsequent ride requested by the individual.</w:t>
      </w:r>
    </w:p>
    <w:p w14:paraId="232B5335" w14:textId="4456043C" w:rsidR="00BA7FF1" w:rsidRDefault="008549F5" w:rsidP="7948C4C5">
      <w:pPr>
        <w:numPr>
          <w:ilvl w:val="2"/>
          <w:numId w:val="4"/>
        </w:numPr>
        <w:pBdr>
          <w:top w:val="nil"/>
          <w:left w:val="nil"/>
          <w:bottom w:val="nil"/>
          <w:right w:val="nil"/>
          <w:between w:val="nil"/>
        </w:pBdr>
      </w:pPr>
      <w:r w:rsidRPr="183AE724">
        <w:rPr>
          <w:lang w:val="en-US"/>
        </w:rPr>
        <w:t xml:space="preserve">In addition, the Contractor shall establish clear procedures for scheduling rides via the 2-1-1 Peer Line, ensuring that the process is efficient and user-friendly for all participants. The Contractor shall be required to track the purpose of rides and the number of rides per month, maintaining accurate records to monitor usage and identify trends.  </w:t>
      </w:r>
    </w:p>
    <w:p w14:paraId="232B5337" w14:textId="77777777" w:rsidR="00BA7FF1" w:rsidRDefault="00BA7FF1"/>
    <w:p w14:paraId="232B533B" w14:textId="77777777" w:rsidR="00BA7FF1" w:rsidRDefault="00BA7FF1">
      <w:pPr>
        <w:ind w:left="2880"/>
        <w:rPr>
          <w:highlight w:val="yellow"/>
        </w:rPr>
      </w:pPr>
    </w:p>
    <w:p w14:paraId="232B533C" w14:textId="77777777" w:rsidR="00BA7FF1" w:rsidRPr="00C847C8" w:rsidRDefault="008549F5" w:rsidP="00C847C8">
      <w:pPr>
        <w:numPr>
          <w:ilvl w:val="0"/>
          <w:numId w:val="4"/>
        </w:numPr>
        <w:rPr>
          <w:b/>
        </w:rPr>
      </w:pPr>
      <w:r w:rsidRPr="183AE724">
        <w:rPr>
          <w:b/>
          <w:bCs/>
        </w:rPr>
        <w:t>Data Requirements</w:t>
      </w:r>
    </w:p>
    <w:p w14:paraId="36E157FE" w14:textId="0E62C5E3" w:rsidR="008403F9" w:rsidRDefault="008403F9" w:rsidP="00A93DD0">
      <w:pPr>
        <w:numPr>
          <w:ilvl w:val="1"/>
          <w:numId w:val="4"/>
        </w:numPr>
        <w:pBdr>
          <w:top w:val="nil"/>
          <w:left w:val="nil"/>
          <w:bottom w:val="nil"/>
          <w:right w:val="nil"/>
          <w:between w:val="nil"/>
        </w:pBdr>
        <w:rPr>
          <w:i/>
        </w:rPr>
      </w:pPr>
      <w:r w:rsidRPr="183AE724">
        <w:rPr>
          <w:i/>
          <w:iCs/>
        </w:rPr>
        <w:t>Recovery Link</w:t>
      </w:r>
    </w:p>
    <w:p w14:paraId="53DF907E" w14:textId="068EFF35" w:rsidR="008403F9" w:rsidRDefault="008549F5" w:rsidP="369C5A66">
      <w:pPr>
        <w:numPr>
          <w:ilvl w:val="2"/>
          <w:numId w:val="4"/>
        </w:numPr>
        <w:pBdr>
          <w:top w:val="nil"/>
          <w:left w:val="nil"/>
          <w:bottom w:val="nil"/>
          <w:right w:val="nil"/>
          <w:between w:val="nil"/>
        </w:pBdr>
      </w:pPr>
      <w:r w:rsidRPr="183AE724">
        <w:rPr>
          <w:lang w:val="en-US"/>
        </w:rPr>
        <w:t xml:space="preserve">The Contractor shall utilize the State-approved standard data collection software, </w:t>
      </w:r>
      <w:proofErr w:type="spellStart"/>
      <w:r w:rsidRPr="183AE724">
        <w:rPr>
          <w:lang w:val="en-US"/>
        </w:rPr>
        <w:t>RecoveryLink</w:t>
      </w:r>
      <w:proofErr w:type="spellEnd"/>
      <w:r w:rsidRPr="183AE724">
        <w:rPr>
          <w:lang w:val="en-US"/>
        </w:rPr>
        <w:t xml:space="preserve">, when tracking recovery services provided. </w:t>
      </w:r>
    </w:p>
    <w:p w14:paraId="4B3B0212" w14:textId="04206094" w:rsidR="00D53E43" w:rsidRDefault="001B08CF" w:rsidP="7948C4C5">
      <w:pPr>
        <w:numPr>
          <w:ilvl w:val="2"/>
          <w:numId w:val="4"/>
        </w:numPr>
        <w:pBdr>
          <w:top w:val="nil"/>
          <w:left w:val="nil"/>
          <w:bottom w:val="nil"/>
          <w:right w:val="nil"/>
          <w:between w:val="nil"/>
        </w:pBdr>
      </w:pPr>
      <w:r w:rsidRPr="183AE724">
        <w:rPr>
          <w:lang w:val="en-US"/>
        </w:rPr>
        <w:t xml:space="preserve">Unless prior written consent from the State is given, any failure to utilize </w:t>
      </w:r>
      <w:proofErr w:type="spellStart"/>
      <w:r w:rsidRPr="183AE724">
        <w:rPr>
          <w:lang w:val="en-US"/>
        </w:rPr>
        <w:t>RecoveryLink</w:t>
      </w:r>
      <w:proofErr w:type="spellEnd"/>
      <w:r w:rsidRPr="183AE724">
        <w:rPr>
          <w:lang w:val="en-US"/>
        </w:rPr>
        <w:t xml:space="preserve"> and submit data will result in corrective actions listed below until the software is fully implemented by Contractor:</w:t>
      </w:r>
    </w:p>
    <w:p w14:paraId="20247062" w14:textId="36902F6E" w:rsidR="001B08CF" w:rsidRDefault="001B08CF" w:rsidP="001B08CF">
      <w:pPr>
        <w:numPr>
          <w:ilvl w:val="3"/>
          <w:numId w:val="4"/>
        </w:numPr>
        <w:rPr>
          <w:lang w:val="en-US"/>
        </w:rPr>
      </w:pPr>
      <w:r w:rsidRPr="183AE724">
        <w:rPr>
          <w:lang w:val="en-US"/>
        </w:rPr>
        <w:t xml:space="preserve">Attend an in-person </w:t>
      </w:r>
      <w:r w:rsidR="7800D14C" w:rsidRPr="443CD939">
        <w:rPr>
          <w:lang w:val="en-US"/>
        </w:rPr>
        <w:t>data</w:t>
      </w:r>
      <w:r w:rsidRPr="183AE724">
        <w:rPr>
          <w:lang w:val="en-US"/>
        </w:rPr>
        <w:t xml:space="preserve"> training facilitated by the Contractor</w:t>
      </w:r>
      <w:r w:rsidR="3BA6CABF" w:rsidRPr="443CD939">
        <w:rPr>
          <w:lang w:val="en-US"/>
        </w:rPr>
        <w:t xml:space="preserve"> as needed</w:t>
      </w:r>
      <w:r w:rsidRPr="183AE724">
        <w:rPr>
          <w:lang w:val="en-US"/>
        </w:rPr>
        <w:t>.</w:t>
      </w:r>
    </w:p>
    <w:p w14:paraId="3ADC1F9F" w14:textId="77777777" w:rsidR="001B08CF" w:rsidRDefault="001B08CF" w:rsidP="001B08CF">
      <w:pPr>
        <w:numPr>
          <w:ilvl w:val="3"/>
          <w:numId w:val="4"/>
        </w:numPr>
      </w:pPr>
      <w:r>
        <w:t>A performance improvement plan will be developed in collaboration with the Contractor and the State to aid in improvements to reporting and outcomes within 60 days. The PIP will include Specific, Measurable, Achievable, Relevant, and Time-bound (“SMART”) goals and weekly virtual meetings with the State.</w:t>
      </w:r>
    </w:p>
    <w:p w14:paraId="0536E616" w14:textId="77777777" w:rsidR="001B08CF" w:rsidRDefault="001B08CF" w:rsidP="001B08CF">
      <w:pPr>
        <w:numPr>
          <w:ilvl w:val="4"/>
          <w:numId w:val="4"/>
        </w:numPr>
      </w:pPr>
      <w:r>
        <w:t>A performance improvement plan will be developed in collaboration with the Contractor and the State to aid in improvements to reporting and outcomes within 60 days. The PIP will include Specific, Measurable, Achievable, Relevant, and Time-bound (“SMART”) goals and weekly virtual meetings with the State.</w:t>
      </w:r>
    </w:p>
    <w:p w14:paraId="6AC63E6C" w14:textId="77777777" w:rsidR="001B08CF" w:rsidRDefault="001B08CF" w:rsidP="001B08CF">
      <w:pPr>
        <w:pBdr>
          <w:top w:val="nil"/>
          <w:left w:val="nil"/>
          <w:bottom w:val="nil"/>
          <w:right w:val="nil"/>
          <w:between w:val="nil"/>
        </w:pBdr>
      </w:pPr>
    </w:p>
    <w:p w14:paraId="32A5B3AF" w14:textId="0E40FC52" w:rsidR="008403F9" w:rsidRPr="008403F9" w:rsidRDefault="008403F9" w:rsidP="00A93DD0">
      <w:pPr>
        <w:numPr>
          <w:ilvl w:val="1"/>
          <w:numId w:val="4"/>
        </w:numPr>
        <w:pBdr>
          <w:top w:val="nil"/>
          <w:left w:val="nil"/>
          <w:bottom w:val="nil"/>
          <w:right w:val="nil"/>
          <w:between w:val="nil"/>
        </w:pBdr>
      </w:pPr>
      <w:r w:rsidRPr="183AE724">
        <w:rPr>
          <w:i/>
          <w:iCs/>
        </w:rPr>
        <w:t>DEBS</w:t>
      </w:r>
    </w:p>
    <w:p w14:paraId="02F4DB55" w14:textId="2E8E8AFE" w:rsidR="008403F9" w:rsidRDefault="008403F9" w:rsidP="001B08CF">
      <w:pPr>
        <w:numPr>
          <w:ilvl w:val="2"/>
          <w:numId w:val="4"/>
        </w:numPr>
        <w:rPr>
          <w:lang w:val="en-US"/>
        </w:rPr>
      </w:pPr>
      <w:r w:rsidRPr="183AE724">
        <w:rPr>
          <w:lang w:val="en-US"/>
        </w:rPr>
        <w:t xml:space="preserve">The Contractor will ensure that at least one </w:t>
      </w:r>
      <w:r w:rsidR="47A398E4" w:rsidRPr="1A1A5CF0">
        <w:rPr>
          <w:lang w:val="en-US"/>
        </w:rPr>
        <w:t>certified peer</w:t>
      </w:r>
      <w:r w:rsidRPr="183AE724">
        <w:rPr>
          <w:lang w:val="en-US"/>
        </w:rPr>
        <w:t xml:space="preserve"> has completed DEBS training with DMHA for the submission of GPRA data and possibly more information if requested by the State.</w:t>
      </w:r>
    </w:p>
    <w:p w14:paraId="232B5341" w14:textId="77777777" w:rsidR="00BA7FF1" w:rsidRDefault="00BA7FF1"/>
    <w:p w14:paraId="232B5345" w14:textId="3D562415" w:rsidR="00BA7FF1" w:rsidRDefault="008549F5" w:rsidP="1A1A5CF0">
      <w:pPr>
        <w:numPr>
          <w:ilvl w:val="0"/>
          <w:numId w:val="4"/>
        </w:numPr>
        <w:rPr>
          <w:b/>
        </w:rPr>
      </w:pPr>
      <w:r w:rsidRPr="183AE724">
        <w:rPr>
          <w:b/>
          <w:bCs/>
        </w:rPr>
        <w:t xml:space="preserve">Project Management  </w:t>
      </w:r>
    </w:p>
    <w:p w14:paraId="232B5346" w14:textId="77777777" w:rsidR="00BA7FF1" w:rsidRDefault="525298C7" w:rsidP="0A1C7083">
      <w:pPr>
        <w:numPr>
          <w:ilvl w:val="0"/>
          <w:numId w:val="8"/>
        </w:numPr>
        <w:rPr>
          <w:i/>
          <w:iCs/>
        </w:rPr>
      </w:pPr>
      <w:r w:rsidRPr="0A1C7083">
        <w:rPr>
          <w:i/>
          <w:iCs/>
        </w:rPr>
        <w:t>Monitoring and Reporting</w:t>
      </w:r>
    </w:p>
    <w:p w14:paraId="232B5347" w14:textId="77777777" w:rsidR="00BA7FF1" w:rsidRDefault="008549F5">
      <w:pPr>
        <w:numPr>
          <w:ilvl w:val="1"/>
          <w:numId w:val="8"/>
        </w:numPr>
      </w:pPr>
      <w:r>
        <w:rPr>
          <w:i/>
        </w:rPr>
        <w:t xml:space="preserve">Monthly Reports </w:t>
      </w:r>
    </w:p>
    <w:p w14:paraId="232B5348" w14:textId="40F7717D" w:rsidR="00BA7FF1" w:rsidRDefault="008549F5">
      <w:pPr>
        <w:numPr>
          <w:ilvl w:val="2"/>
          <w:numId w:val="8"/>
        </w:numPr>
        <w:rPr>
          <w:lang w:val="en-US"/>
        </w:rPr>
      </w:pPr>
      <w:r w:rsidRPr="7948C4C5">
        <w:rPr>
          <w:lang w:val="en-US"/>
        </w:rPr>
        <w:t xml:space="preserve">The Contractor shall submit a monthly report that includes a summary of all activities related to ensuring adherence to peer workforce requirements as well as barriers or issues related to meeting requirements </w:t>
      </w:r>
      <w:r w:rsidR="00EF531E" w:rsidRPr="7948C4C5">
        <w:rPr>
          <w:lang w:val="en-US"/>
        </w:rPr>
        <w:t>of the Contract</w:t>
      </w:r>
      <w:r w:rsidRPr="7948C4C5">
        <w:rPr>
          <w:lang w:val="en-US"/>
        </w:rPr>
        <w:t xml:space="preserve">. </w:t>
      </w:r>
      <w:r w:rsidR="00955930">
        <w:rPr>
          <w:lang w:val="en-US"/>
        </w:rPr>
        <w:t xml:space="preserve">The State reserves the right to adjust the data required by this report.  </w:t>
      </w:r>
      <w:r w:rsidR="00486B5A">
        <w:rPr>
          <w:lang w:val="en-US"/>
        </w:rPr>
        <w:t>Unless otherwise adjusted by the State</w:t>
      </w:r>
      <w:r w:rsidR="00955930">
        <w:rPr>
          <w:lang w:val="en-US"/>
        </w:rPr>
        <w:t xml:space="preserve">, </w:t>
      </w:r>
      <w:r w:rsidR="00486B5A">
        <w:rPr>
          <w:lang w:val="en-US"/>
        </w:rPr>
        <w:t>each</w:t>
      </w:r>
      <w:r w:rsidR="56A66D5C" w:rsidRPr="443CD939">
        <w:rPr>
          <w:lang w:val="en-US"/>
        </w:rPr>
        <w:t xml:space="preserve"> report shall </w:t>
      </w:r>
      <w:r w:rsidR="00299F6B" w:rsidRPr="443CD939">
        <w:rPr>
          <w:lang w:val="en-US"/>
        </w:rPr>
        <w:t>includ</w:t>
      </w:r>
      <w:r w:rsidR="5658C465" w:rsidRPr="443CD939">
        <w:rPr>
          <w:lang w:val="en-US"/>
        </w:rPr>
        <w:t>e</w:t>
      </w:r>
      <w:r w:rsidR="00486B5A">
        <w:rPr>
          <w:lang w:val="en-US"/>
        </w:rPr>
        <w:t xml:space="preserve"> </w:t>
      </w:r>
      <w:r w:rsidR="49EC93A8" w:rsidRPr="443CD939">
        <w:rPr>
          <w:lang w:val="en-US"/>
        </w:rPr>
        <w:t>the</w:t>
      </w:r>
      <w:r w:rsidR="2B0ACB69" w:rsidRPr="443CD939">
        <w:rPr>
          <w:lang w:val="en-US"/>
        </w:rPr>
        <w:t xml:space="preserve"> following </w:t>
      </w:r>
      <w:r w:rsidR="49EC93A8" w:rsidRPr="443CD939">
        <w:rPr>
          <w:lang w:val="en-US"/>
        </w:rPr>
        <w:t>indicators:</w:t>
      </w:r>
    </w:p>
    <w:p w14:paraId="232B5349" w14:textId="77777777" w:rsidR="00BA7FF1" w:rsidRDefault="008549F5">
      <w:pPr>
        <w:numPr>
          <w:ilvl w:val="3"/>
          <w:numId w:val="8"/>
        </w:numPr>
      </w:pPr>
      <w:r>
        <w:t xml:space="preserve">Number of all intakes completed </w:t>
      </w:r>
    </w:p>
    <w:p w14:paraId="232B534A" w14:textId="77777777" w:rsidR="00BA7FF1" w:rsidRDefault="008549F5">
      <w:pPr>
        <w:numPr>
          <w:ilvl w:val="3"/>
          <w:numId w:val="8"/>
        </w:numPr>
      </w:pPr>
      <w:r>
        <w:t xml:space="preserve">Demographic information from intake including age, race/ethnicity, sexual orientation, and gender </w:t>
      </w:r>
    </w:p>
    <w:p w14:paraId="232B534B" w14:textId="77777777" w:rsidR="00BA7FF1" w:rsidRDefault="008549F5">
      <w:pPr>
        <w:numPr>
          <w:ilvl w:val="3"/>
          <w:numId w:val="8"/>
        </w:numPr>
      </w:pPr>
      <w:r>
        <w:t xml:space="preserve">Number of opioid/stimulant specific intakes </w:t>
      </w:r>
    </w:p>
    <w:p w14:paraId="232B534C" w14:textId="77777777" w:rsidR="00BA7FF1" w:rsidRDefault="008549F5">
      <w:pPr>
        <w:numPr>
          <w:ilvl w:val="3"/>
          <w:numId w:val="8"/>
        </w:numPr>
      </w:pPr>
      <w:r>
        <w:t xml:space="preserve">Number of mental health specific intakes </w:t>
      </w:r>
    </w:p>
    <w:p w14:paraId="232B534D" w14:textId="71649585" w:rsidR="00BA7FF1" w:rsidRDefault="008549F5">
      <w:pPr>
        <w:numPr>
          <w:ilvl w:val="3"/>
          <w:numId w:val="8"/>
        </w:numPr>
      </w:pPr>
      <w:r>
        <w:t xml:space="preserve">Number of peer hours spent </w:t>
      </w:r>
      <w:r w:rsidR="005C0D93">
        <w:t>in each county</w:t>
      </w:r>
      <w:r>
        <w:t xml:space="preserve"> </w:t>
      </w:r>
    </w:p>
    <w:p w14:paraId="232B534E" w14:textId="7D357210" w:rsidR="00BA7FF1" w:rsidRDefault="008549F5">
      <w:pPr>
        <w:numPr>
          <w:ilvl w:val="3"/>
          <w:numId w:val="8"/>
        </w:numPr>
      </w:pPr>
      <w:r>
        <w:t xml:space="preserve">Number of peer supervision </w:t>
      </w:r>
      <w:r w:rsidR="00C25D05">
        <w:t>spent in each county</w:t>
      </w:r>
    </w:p>
    <w:p w14:paraId="232B5350" w14:textId="77777777" w:rsidR="00BA7FF1" w:rsidRDefault="008549F5">
      <w:pPr>
        <w:numPr>
          <w:ilvl w:val="3"/>
          <w:numId w:val="8"/>
        </w:numPr>
      </w:pPr>
      <w:r>
        <w:t xml:space="preserve">Number of individuals receiving direct peer support services </w:t>
      </w:r>
    </w:p>
    <w:p w14:paraId="232B5351" w14:textId="77777777" w:rsidR="00BA7FF1" w:rsidRDefault="008549F5">
      <w:pPr>
        <w:numPr>
          <w:ilvl w:val="3"/>
          <w:numId w:val="8"/>
        </w:numPr>
      </w:pPr>
      <w:r>
        <w:t xml:space="preserve">Number of individuals who received group peer support services </w:t>
      </w:r>
    </w:p>
    <w:p w14:paraId="232B5352" w14:textId="77777777" w:rsidR="00BA7FF1" w:rsidRDefault="1393ED88">
      <w:pPr>
        <w:numPr>
          <w:ilvl w:val="3"/>
          <w:numId w:val="8"/>
        </w:numPr>
      </w:pPr>
      <w:r w:rsidRPr="128777B9">
        <w:rPr>
          <w:lang w:val="en-US"/>
        </w:rPr>
        <w:t>Recovery data considered required in DMHA data platform</w:t>
      </w:r>
    </w:p>
    <w:p w14:paraId="232B5354" w14:textId="10C7DDD9" w:rsidR="00BA7FF1" w:rsidRDefault="1393ED88" w:rsidP="607ADAA1">
      <w:pPr>
        <w:numPr>
          <w:ilvl w:val="2"/>
          <w:numId w:val="8"/>
        </w:numPr>
        <w:rPr>
          <w:lang w:val="en-US"/>
        </w:rPr>
      </w:pPr>
      <w:r w:rsidRPr="369C5A66">
        <w:rPr>
          <w:lang w:val="en-US"/>
        </w:rPr>
        <w:t xml:space="preserve">The Contractor shall collect data that captures the operating costs of peer </w:t>
      </w:r>
      <w:r w:rsidR="67364B04" w:rsidRPr="443CD939">
        <w:rPr>
          <w:lang w:val="en-US"/>
        </w:rPr>
        <w:t>support</w:t>
      </w:r>
      <w:r w:rsidRPr="369C5A66">
        <w:rPr>
          <w:lang w:val="en-US"/>
        </w:rPr>
        <w:t xml:space="preserve"> services. This quarterly management and technology report shall be submitted to the State and include</w:t>
      </w:r>
      <w:r w:rsidR="5A7CF0D8" w:rsidRPr="443CD939">
        <w:rPr>
          <w:lang w:val="en-US"/>
        </w:rPr>
        <w:t xml:space="preserve">, but </w:t>
      </w:r>
      <w:r w:rsidR="29AFD538" w:rsidRPr="443CD939">
        <w:rPr>
          <w:lang w:val="en-US"/>
        </w:rPr>
        <w:t xml:space="preserve">is </w:t>
      </w:r>
      <w:r w:rsidR="5A7CF0D8" w:rsidRPr="443CD939">
        <w:rPr>
          <w:lang w:val="en-US"/>
        </w:rPr>
        <w:t>not limited to,</w:t>
      </w:r>
      <w:r w:rsidRPr="369C5A66">
        <w:rPr>
          <w:lang w:val="en-US"/>
        </w:rPr>
        <w:t xml:space="preserve"> the following details:</w:t>
      </w:r>
    </w:p>
    <w:p w14:paraId="232B5355" w14:textId="77777777" w:rsidR="00BA7FF1" w:rsidRDefault="1393ED88">
      <w:pPr>
        <w:numPr>
          <w:ilvl w:val="3"/>
          <w:numId w:val="8"/>
        </w:numPr>
      </w:pPr>
      <w:r>
        <w:t xml:space="preserve">Administrative costs/fees </w:t>
      </w:r>
    </w:p>
    <w:p w14:paraId="4E689E86" w14:textId="5D90FA21" w:rsidR="424F8AF1" w:rsidRDefault="424F8AF1" w:rsidP="128777B9">
      <w:pPr>
        <w:numPr>
          <w:ilvl w:val="3"/>
          <w:numId w:val="8"/>
        </w:numPr>
      </w:pPr>
      <w:r>
        <w:t>Amount of mandatory minimum payment received so far, including the month being reported on</w:t>
      </w:r>
    </w:p>
    <w:p w14:paraId="232B5356" w14:textId="77777777" w:rsidR="00BA7FF1" w:rsidRDefault="1393ED88">
      <w:pPr>
        <w:numPr>
          <w:ilvl w:val="3"/>
          <w:numId w:val="8"/>
        </w:numPr>
      </w:pPr>
      <w:r>
        <w:t xml:space="preserve">Amount of technical time and equipment used </w:t>
      </w:r>
    </w:p>
    <w:p w14:paraId="232B5357" w14:textId="77777777" w:rsidR="00BA7FF1" w:rsidRDefault="1393ED88">
      <w:pPr>
        <w:numPr>
          <w:ilvl w:val="3"/>
          <w:numId w:val="8"/>
        </w:numPr>
      </w:pPr>
      <w:r>
        <w:t xml:space="preserve">Number of management hours with each site </w:t>
      </w:r>
    </w:p>
    <w:p w14:paraId="232B5358" w14:textId="77777777" w:rsidR="00BA7FF1" w:rsidRDefault="1393ED88">
      <w:pPr>
        <w:numPr>
          <w:ilvl w:val="3"/>
          <w:numId w:val="8"/>
        </w:numPr>
      </w:pPr>
      <w:r>
        <w:t xml:space="preserve">Description of the management needed </w:t>
      </w:r>
    </w:p>
    <w:p w14:paraId="232B5359" w14:textId="5A3E1557" w:rsidR="00BA7FF1" w:rsidRDefault="1393ED88">
      <w:pPr>
        <w:numPr>
          <w:ilvl w:val="3"/>
          <w:numId w:val="8"/>
        </w:numPr>
      </w:pPr>
      <w:r>
        <w:t>Description of any other oversight provided</w:t>
      </w:r>
    </w:p>
    <w:p w14:paraId="232B535B" w14:textId="5C967752" w:rsidR="00BA7FF1" w:rsidRDefault="1393ED88">
      <w:pPr>
        <w:numPr>
          <w:ilvl w:val="2"/>
          <w:numId w:val="8"/>
        </w:numPr>
        <w:rPr>
          <w:i/>
          <w:lang w:val="en-US"/>
        </w:rPr>
      </w:pPr>
      <w:r w:rsidRPr="128777B9">
        <w:rPr>
          <w:lang w:val="en-US"/>
        </w:rPr>
        <w:t>The Contractor shall collect ride-sharing data and submit a monthly report to the State that includes</w:t>
      </w:r>
      <w:r w:rsidR="66B7E1EF" w:rsidRPr="443CD939">
        <w:rPr>
          <w:lang w:val="en-US"/>
        </w:rPr>
        <w:t xml:space="preserve">, but </w:t>
      </w:r>
      <w:r w:rsidR="3C4F57CE" w:rsidRPr="443CD939">
        <w:rPr>
          <w:lang w:val="en-US"/>
        </w:rPr>
        <w:t xml:space="preserve">is </w:t>
      </w:r>
      <w:r w:rsidR="66B7E1EF" w:rsidRPr="443CD939">
        <w:rPr>
          <w:lang w:val="en-US"/>
        </w:rPr>
        <w:t>not limited to,</w:t>
      </w:r>
      <w:r w:rsidRPr="443CD939">
        <w:rPr>
          <w:lang w:val="en-US"/>
        </w:rPr>
        <w:t xml:space="preserve"> the </w:t>
      </w:r>
      <w:r w:rsidRPr="128777B9">
        <w:rPr>
          <w:lang w:val="en-US"/>
        </w:rPr>
        <w:t xml:space="preserve">following: </w:t>
      </w:r>
    </w:p>
    <w:p w14:paraId="232B535C" w14:textId="24B8F01C" w:rsidR="00BA7FF1" w:rsidRDefault="1393ED88">
      <w:pPr>
        <w:numPr>
          <w:ilvl w:val="3"/>
          <w:numId w:val="8"/>
        </w:numPr>
      </w:pPr>
      <w:r>
        <w:t xml:space="preserve">Number of rides provided to </w:t>
      </w:r>
      <w:r w:rsidR="2943D8EE">
        <w:t>participants</w:t>
      </w:r>
      <w:r>
        <w:t xml:space="preserve"> </w:t>
      </w:r>
    </w:p>
    <w:p w14:paraId="232B535D" w14:textId="77777777" w:rsidR="00BA7FF1" w:rsidRDefault="008549F5">
      <w:pPr>
        <w:numPr>
          <w:ilvl w:val="3"/>
          <w:numId w:val="8"/>
        </w:numPr>
      </w:pPr>
      <w:r>
        <w:t xml:space="preserve">Destination of each ride (ex: doctors, treatment, etc.) </w:t>
      </w:r>
    </w:p>
    <w:p w14:paraId="232B535E" w14:textId="77777777" w:rsidR="00BA7FF1" w:rsidRDefault="008549F5">
      <w:pPr>
        <w:numPr>
          <w:ilvl w:val="3"/>
          <w:numId w:val="8"/>
        </w:numPr>
      </w:pPr>
      <w:r>
        <w:t xml:space="preserve">Average cost per ride </w:t>
      </w:r>
    </w:p>
    <w:p w14:paraId="232B535F" w14:textId="77777777" w:rsidR="00BA7FF1" w:rsidRDefault="008549F5">
      <w:pPr>
        <w:numPr>
          <w:ilvl w:val="3"/>
          <w:numId w:val="8"/>
        </w:numPr>
      </w:pPr>
      <w:r>
        <w:t>Average cost per month</w:t>
      </w:r>
    </w:p>
    <w:p w14:paraId="232B5368" w14:textId="3CB29B86" w:rsidR="00BA7FF1" w:rsidRDefault="00BA7FF1" w:rsidP="128777B9"/>
    <w:p w14:paraId="232B5369" w14:textId="77777777" w:rsidR="00BA7FF1" w:rsidRDefault="008549F5">
      <w:pPr>
        <w:numPr>
          <w:ilvl w:val="0"/>
          <w:numId w:val="8"/>
        </w:numPr>
      </w:pPr>
      <w:r>
        <w:rPr>
          <w:i/>
        </w:rPr>
        <w:t>Meeting and Touchpoint Requirements</w:t>
      </w:r>
    </w:p>
    <w:p w14:paraId="232B536A" w14:textId="22D6286C" w:rsidR="00BA7FF1" w:rsidRDefault="002D0D67">
      <w:pPr>
        <w:numPr>
          <w:ilvl w:val="1"/>
          <w:numId w:val="8"/>
        </w:numPr>
      </w:pPr>
      <w:r w:rsidRPr="7948C4C5">
        <w:rPr>
          <w:lang w:val="en-US"/>
        </w:rPr>
        <w:t>Unless otherwise directed by the State, w</w:t>
      </w:r>
      <w:r w:rsidR="008549F5" w:rsidRPr="7948C4C5">
        <w:rPr>
          <w:lang w:val="en-US"/>
        </w:rPr>
        <w:t xml:space="preserve">ithin two (2) weeks of </w:t>
      </w:r>
      <w:r w:rsidRPr="7948C4C5">
        <w:rPr>
          <w:lang w:val="en-US"/>
        </w:rPr>
        <w:t>C</w:t>
      </w:r>
      <w:r w:rsidR="008549F5" w:rsidRPr="7948C4C5">
        <w:rPr>
          <w:lang w:val="en-US"/>
        </w:rPr>
        <w:t xml:space="preserve">ontract finalization, the State and the Contractor shall meet to kick off the project. The goal of this meeting is to make all necessary introductions between the State and the Contractor, and to establish next steps in the provision of peer </w:t>
      </w:r>
      <w:r w:rsidR="0AE3F4DE" w:rsidRPr="443CD939">
        <w:rPr>
          <w:lang w:val="en-US"/>
        </w:rPr>
        <w:t>support</w:t>
      </w:r>
      <w:r w:rsidR="008549F5" w:rsidRPr="7948C4C5">
        <w:rPr>
          <w:lang w:val="en-US"/>
        </w:rPr>
        <w:t xml:space="preserve"> services. The meeting may be in-person or virtual, as determined by the State. </w:t>
      </w:r>
    </w:p>
    <w:p w14:paraId="232B536B" w14:textId="77777777" w:rsidR="00BA7FF1" w:rsidRDefault="008549F5">
      <w:pPr>
        <w:numPr>
          <w:ilvl w:val="1"/>
          <w:numId w:val="8"/>
        </w:numPr>
      </w:pPr>
      <w:r w:rsidRPr="7948C4C5">
        <w:rPr>
          <w:lang w:val="en-US"/>
        </w:rPr>
        <w:t xml:space="preserve">On at least a monthly basis, the Contractor shall schedule, facilitate, and coordinate virtual monthly touchpoints with the State. The Contractor will prepare the agenda for these meetings in advance for the State’s review and the State shall be able to add items to the agenda. </w:t>
      </w:r>
    </w:p>
    <w:p w14:paraId="232B536C" w14:textId="77777777" w:rsidR="00BA7FF1" w:rsidRDefault="008549F5">
      <w:pPr>
        <w:numPr>
          <w:ilvl w:val="1"/>
          <w:numId w:val="8"/>
        </w:numPr>
      </w:pPr>
      <w:r w:rsidRPr="7948C4C5">
        <w:rPr>
          <w:lang w:val="en-US"/>
        </w:rPr>
        <w:t>The Contractor shall be available to attend additional meetings as requested by the State.</w:t>
      </w:r>
    </w:p>
    <w:sectPr w:rsidR="00BA7FF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38958B" w14:textId="77777777" w:rsidR="00783374" w:rsidRDefault="00783374">
      <w:pPr>
        <w:spacing w:line="240" w:lineRule="auto"/>
      </w:pPr>
      <w:r>
        <w:separator/>
      </w:r>
    </w:p>
  </w:endnote>
  <w:endnote w:type="continuationSeparator" w:id="0">
    <w:p w14:paraId="3F9301B9" w14:textId="77777777" w:rsidR="00783374" w:rsidRDefault="00783374">
      <w:pPr>
        <w:spacing w:line="240" w:lineRule="auto"/>
      </w:pPr>
      <w:r>
        <w:continuationSeparator/>
      </w:r>
    </w:p>
  </w:endnote>
  <w:endnote w:type="continuationNotice" w:id="1">
    <w:p w14:paraId="2FD24D84" w14:textId="77777777" w:rsidR="00783374" w:rsidRDefault="007833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8EEEB" w14:textId="77777777" w:rsidR="001619CF" w:rsidRDefault="001619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B539A" w14:textId="047E102C" w:rsidR="00BA7FF1" w:rsidRDefault="008549F5">
    <w:pPr>
      <w:jc w:val="right"/>
      <w:rPr>
        <w:sz w:val="18"/>
        <w:szCs w:val="18"/>
      </w:rPr>
    </w:pPr>
    <w:r>
      <w:rPr>
        <w:sz w:val="18"/>
        <w:szCs w:val="18"/>
      </w:rPr>
      <w:fldChar w:fldCharType="begin"/>
    </w:r>
    <w:r>
      <w:rPr>
        <w:sz w:val="18"/>
        <w:szCs w:val="18"/>
      </w:rPr>
      <w:instrText>PAGE</w:instrText>
    </w:r>
    <w:r>
      <w:rPr>
        <w:sz w:val="18"/>
        <w:szCs w:val="18"/>
      </w:rPr>
      <w:fldChar w:fldCharType="separate"/>
    </w:r>
    <w:r w:rsidR="00706766">
      <w:rPr>
        <w:noProof/>
        <w:sz w:val="18"/>
        <w:szCs w:val="18"/>
      </w:rPr>
      <w:t>1</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9C6C5" w14:textId="77777777" w:rsidR="001619CF" w:rsidRDefault="001619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12FBE" w14:textId="77777777" w:rsidR="00783374" w:rsidRDefault="00783374">
      <w:pPr>
        <w:spacing w:line="240" w:lineRule="auto"/>
      </w:pPr>
      <w:r>
        <w:separator/>
      </w:r>
    </w:p>
  </w:footnote>
  <w:footnote w:type="continuationSeparator" w:id="0">
    <w:p w14:paraId="113113EA" w14:textId="77777777" w:rsidR="00783374" w:rsidRDefault="00783374">
      <w:pPr>
        <w:spacing w:line="240" w:lineRule="auto"/>
      </w:pPr>
      <w:r>
        <w:continuationSeparator/>
      </w:r>
    </w:p>
  </w:footnote>
  <w:footnote w:type="continuationNotice" w:id="1">
    <w:p w14:paraId="7BEC7106" w14:textId="77777777" w:rsidR="00783374" w:rsidRDefault="0078337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E2071" w14:textId="467A428D" w:rsidR="001619CF" w:rsidRDefault="001619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B5399" w14:textId="7BDD5B58" w:rsidR="00BA7FF1" w:rsidRDefault="00BA7FF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1A58B" w14:textId="76062C10" w:rsidR="001619CF" w:rsidRDefault="001619CF">
    <w:pPr>
      <w:pStyle w:val="Header"/>
    </w:pPr>
  </w:p>
</w:hdr>
</file>

<file path=word/intelligence2.xml><?xml version="1.0" encoding="utf-8"?>
<int2:intelligence xmlns:int2="http://schemas.microsoft.com/office/intelligence/2020/intelligence" xmlns:oel="http://schemas.microsoft.com/office/2019/extlst">
  <int2:observations>
    <int2:textHash int2:hashCode="EeqtAjXszp1rqh" int2:id="kgF2w8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A6C5A"/>
    <w:multiLevelType w:val="multilevel"/>
    <w:tmpl w:val="099286CC"/>
    <w:lvl w:ilvl="0">
      <w:start w:val="1"/>
      <w:numFmt w:val="lowerLetter"/>
      <w:lvlText w:val="%1."/>
      <w:lvlJc w:val="left"/>
      <w:pPr>
        <w:ind w:left="1440" w:hanging="360"/>
      </w:pPr>
      <w:rPr>
        <w:i w:val="0"/>
        <w:u w:val="none"/>
      </w:rPr>
    </w:lvl>
    <w:lvl w:ilvl="1">
      <w:start w:val="1"/>
      <w:numFmt w:val="lowerRoman"/>
      <w:lvlText w:val="%2."/>
      <w:lvlJc w:val="right"/>
      <w:pPr>
        <w:ind w:left="2160" w:hanging="360"/>
      </w:pPr>
      <w:rPr>
        <w:i w:val="0"/>
        <w:u w:val="none"/>
      </w:rPr>
    </w:lvl>
    <w:lvl w:ilvl="2">
      <w:start w:val="1"/>
      <w:numFmt w:val="decimal"/>
      <w:lvlText w:val="%3."/>
      <w:lvlJc w:val="left"/>
      <w:pPr>
        <w:ind w:left="2880" w:hanging="360"/>
      </w:pPr>
      <w:rPr>
        <w:i w:val="0"/>
        <w:u w:val="none"/>
      </w:rPr>
    </w:lvl>
    <w:lvl w:ilvl="3">
      <w:start w:val="1"/>
      <w:numFmt w:val="lowerLetter"/>
      <w:lvlText w:val="%4."/>
      <w:lvlJc w:val="left"/>
      <w:pPr>
        <w:ind w:left="3600" w:hanging="360"/>
      </w:pPr>
      <w:rPr>
        <w:i w:val="0"/>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15:restartNumberingAfterBreak="0">
    <w:nsid w:val="13F164E8"/>
    <w:multiLevelType w:val="multilevel"/>
    <w:tmpl w:val="D25813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F882E53"/>
    <w:multiLevelType w:val="multilevel"/>
    <w:tmpl w:val="ABDE027A"/>
    <w:lvl w:ilvl="0">
      <w:start w:val="1"/>
      <w:numFmt w:val="lowerLetter"/>
      <w:lvlText w:val="%1."/>
      <w:lvlJc w:val="left"/>
      <w:pPr>
        <w:ind w:left="1440" w:hanging="360"/>
      </w:pPr>
      <w:rPr>
        <w:i w:val="0"/>
        <w:u w:val="none"/>
      </w:rPr>
    </w:lvl>
    <w:lvl w:ilvl="1">
      <w:start w:val="1"/>
      <w:numFmt w:val="lowerRoman"/>
      <w:lvlText w:val="%2."/>
      <w:lvlJc w:val="right"/>
      <w:pPr>
        <w:ind w:left="2160" w:hanging="360"/>
      </w:pPr>
      <w:rPr>
        <w:i w:val="0"/>
        <w:u w:val="none"/>
      </w:rPr>
    </w:lvl>
    <w:lvl w:ilvl="2">
      <w:start w:val="1"/>
      <w:numFmt w:val="decimal"/>
      <w:lvlText w:val="%3."/>
      <w:lvlJc w:val="left"/>
      <w:pPr>
        <w:ind w:left="2880" w:hanging="360"/>
      </w:pPr>
      <w:rPr>
        <w:i w:val="0"/>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15:restartNumberingAfterBreak="0">
    <w:nsid w:val="4FF70A32"/>
    <w:multiLevelType w:val="multilevel"/>
    <w:tmpl w:val="9C340830"/>
    <w:lvl w:ilvl="0">
      <w:start w:val="1"/>
      <w:numFmt w:val="lowerLetter"/>
      <w:lvlText w:val="%1."/>
      <w:lvlJc w:val="left"/>
      <w:pPr>
        <w:ind w:left="1440" w:hanging="360"/>
      </w:pPr>
      <w:rPr>
        <w:i w:val="0"/>
        <w:u w:val="none"/>
      </w:rPr>
    </w:lvl>
    <w:lvl w:ilvl="1">
      <w:start w:val="1"/>
      <w:numFmt w:val="lowerRoman"/>
      <w:lvlText w:val="%2."/>
      <w:lvlJc w:val="right"/>
      <w:pPr>
        <w:ind w:left="2160" w:hanging="360"/>
      </w:pPr>
      <w:rPr>
        <w:i w:val="0"/>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15:restartNumberingAfterBreak="0">
    <w:nsid w:val="656A61DA"/>
    <w:multiLevelType w:val="multilevel"/>
    <w:tmpl w:val="7C5AFB8C"/>
    <w:lvl w:ilvl="0">
      <w:start w:val="1"/>
      <w:numFmt w:val="lowerLetter"/>
      <w:lvlText w:val="%1."/>
      <w:lvlJc w:val="left"/>
      <w:pPr>
        <w:ind w:left="1440" w:hanging="360"/>
      </w:pPr>
      <w:rPr>
        <w:i w:val="0"/>
        <w:u w:val="none"/>
      </w:rPr>
    </w:lvl>
    <w:lvl w:ilvl="1">
      <w:start w:val="1"/>
      <w:numFmt w:val="lowerRoman"/>
      <w:lvlText w:val="%2."/>
      <w:lvlJc w:val="right"/>
      <w:pPr>
        <w:ind w:left="2160" w:hanging="360"/>
      </w:pPr>
      <w:rPr>
        <w:u w:val="none"/>
      </w:rPr>
    </w:lvl>
    <w:lvl w:ilvl="2">
      <w:start w:val="1"/>
      <w:numFmt w:val="bullet"/>
      <w:lvlText w:val="■"/>
      <w:lvlJc w:val="left"/>
      <w:pPr>
        <w:ind w:left="1890" w:hanging="360"/>
      </w:pPr>
      <w:rPr>
        <w:i w:val="0"/>
        <w:u w:val="none"/>
      </w:rPr>
    </w:lvl>
    <w:lvl w:ilvl="3">
      <w:start w:val="1"/>
      <w:numFmt w:val="lowerLetter"/>
      <w:lvlText w:val="%4."/>
      <w:lvlJc w:val="left"/>
      <w:pPr>
        <w:ind w:left="252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5" w15:restartNumberingAfterBreak="0">
    <w:nsid w:val="68E74261"/>
    <w:multiLevelType w:val="multilevel"/>
    <w:tmpl w:val="750CCA7E"/>
    <w:lvl w:ilvl="0">
      <w:start w:val="1"/>
      <w:numFmt w:val="lowerLetter"/>
      <w:lvlText w:val="%1."/>
      <w:lvlJc w:val="left"/>
      <w:pPr>
        <w:ind w:left="1440" w:hanging="360"/>
      </w:pPr>
      <w:rPr>
        <w:i w:val="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695E7CC1"/>
    <w:multiLevelType w:val="multilevel"/>
    <w:tmpl w:val="D08AD644"/>
    <w:lvl w:ilvl="0">
      <w:start w:val="1"/>
      <w:numFmt w:val="decimal"/>
      <w:lvlText w:val="%1."/>
      <w:lvlJc w:val="left"/>
      <w:pPr>
        <w:ind w:left="720" w:hanging="360"/>
      </w:pPr>
      <w:rPr>
        <w:u w:val="none"/>
      </w:rPr>
    </w:lvl>
    <w:lvl w:ilvl="1">
      <w:start w:val="1"/>
      <w:numFmt w:val="lowerLetter"/>
      <w:lvlText w:val="%2."/>
      <w:lvlJc w:val="left"/>
      <w:pPr>
        <w:ind w:left="1440" w:hanging="360"/>
      </w:pPr>
      <w:rPr>
        <w:b w:val="0"/>
        <w:bCs/>
        <w:i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A436235"/>
    <w:multiLevelType w:val="multilevel"/>
    <w:tmpl w:val="CEA29FC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777C9CDF"/>
    <w:multiLevelType w:val="hybridMultilevel"/>
    <w:tmpl w:val="93EC3E66"/>
    <w:lvl w:ilvl="0" w:tplc="41A6D76C">
      <w:numFmt w:val="none"/>
      <w:lvlText w:val=""/>
      <w:lvlJc w:val="left"/>
      <w:pPr>
        <w:tabs>
          <w:tab w:val="num" w:pos="360"/>
        </w:tabs>
      </w:pPr>
    </w:lvl>
    <w:lvl w:ilvl="1" w:tplc="DA28BD3A">
      <w:start w:val="1"/>
      <w:numFmt w:val="lowerLetter"/>
      <w:lvlText w:val="%2."/>
      <w:lvlJc w:val="left"/>
      <w:pPr>
        <w:ind w:left="1440" w:hanging="360"/>
      </w:pPr>
    </w:lvl>
    <w:lvl w:ilvl="2" w:tplc="FB56A9CA">
      <w:start w:val="1"/>
      <w:numFmt w:val="lowerRoman"/>
      <w:lvlText w:val="%3."/>
      <w:lvlJc w:val="right"/>
      <w:pPr>
        <w:ind w:left="2160" w:hanging="180"/>
      </w:pPr>
    </w:lvl>
    <w:lvl w:ilvl="3" w:tplc="4F2E1386">
      <w:start w:val="1"/>
      <w:numFmt w:val="decimal"/>
      <w:lvlText w:val="%4."/>
      <w:lvlJc w:val="left"/>
      <w:pPr>
        <w:ind w:left="2880" w:hanging="360"/>
      </w:pPr>
    </w:lvl>
    <w:lvl w:ilvl="4" w:tplc="51C67278">
      <w:start w:val="1"/>
      <w:numFmt w:val="lowerLetter"/>
      <w:lvlText w:val="%5."/>
      <w:lvlJc w:val="left"/>
      <w:pPr>
        <w:ind w:left="3600" w:hanging="360"/>
      </w:pPr>
    </w:lvl>
    <w:lvl w:ilvl="5" w:tplc="CADCCE52">
      <w:start w:val="1"/>
      <w:numFmt w:val="lowerRoman"/>
      <w:lvlText w:val="%6."/>
      <w:lvlJc w:val="right"/>
      <w:pPr>
        <w:ind w:left="4320" w:hanging="180"/>
      </w:pPr>
    </w:lvl>
    <w:lvl w:ilvl="6" w:tplc="993886A2">
      <w:start w:val="1"/>
      <w:numFmt w:val="decimal"/>
      <w:lvlText w:val="%7."/>
      <w:lvlJc w:val="left"/>
      <w:pPr>
        <w:ind w:left="5040" w:hanging="360"/>
      </w:pPr>
    </w:lvl>
    <w:lvl w:ilvl="7" w:tplc="8CAC3340">
      <w:start w:val="1"/>
      <w:numFmt w:val="lowerLetter"/>
      <w:lvlText w:val="%8."/>
      <w:lvlJc w:val="left"/>
      <w:pPr>
        <w:ind w:left="5760" w:hanging="360"/>
      </w:pPr>
    </w:lvl>
    <w:lvl w:ilvl="8" w:tplc="938E15D0">
      <w:start w:val="1"/>
      <w:numFmt w:val="lowerRoman"/>
      <w:lvlText w:val="%9."/>
      <w:lvlJc w:val="right"/>
      <w:pPr>
        <w:ind w:left="6480" w:hanging="180"/>
      </w:pPr>
    </w:lvl>
  </w:abstractNum>
  <w:num w:numId="1" w16cid:durableId="1297224372">
    <w:abstractNumId w:val="1"/>
  </w:num>
  <w:num w:numId="2" w16cid:durableId="659771305">
    <w:abstractNumId w:val="3"/>
  </w:num>
  <w:num w:numId="3" w16cid:durableId="946696904">
    <w:abstractNumId w:val="2"/>
  </w:num>
  <w:num w:numId="4" w16cid:durableId="446047339">
    <w:abstractNumId w:val="6"/>
  </w:num>
  <w:num w:numId="5" w16cid:durableId="400521244">
    <w:abstractNumId w:val="4"/>
  </w:num>
  <w:num w:numId="6" w16cid:durableId="1703364945">
    <w:abstractNumId w:val="5"/>
  </w:num>
  <w:num w:numId="7" w16cid:durableId="1220359526">
    <w:abstractNumId w:val="7"/>
  </w:num>
  <w:num w:numId="8" w16cid:durableId="47269320">
    <w:abstractNumId w:val="0"/>
  </w:num>
  <w:num w:numId="9" w16cid:durableId="13495278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FF1"/>
    <w:rsid w:val="000377E1"/>
    <w:rsid w:val="000378F1"/>
    <w:rsid w:val="000520C7"/>
    <w:rsid w:val="0008386E"/>
    <w:rsid w:val="000924A0"/>
    <w:rsid w:val="00093942"/>
    <w:rsid w:val="000960E4"/>
    <w:rsid w:val="000E27F8"/>
    <w:rsid w:val="000F558D"/>
    <w:rsid w:val="00115BD7"/>
    <w:rsid w:val="00145F95"/>
    <w:rsid w:val="00147FB7"/>
    <w:rsid w:val="0015435E"/>
    <w:rsid w:val="001614F8"/>
    <w:rsid w:val="001619CF"/>
    <w:rsid w:val="001950C4"/>
    <w:rsid w:val="001B08CF"/>
    <w:rsid w:val="001E78DF"/>
    <w:rsid w:val="002064D4"/>
    <w:rsid w:val="00222B9D"/>
    <w:rsid w:val="002938BB"/>
    <w:rsid w:val="00299F6B"/>
    <w:rsid w:val="002A6B76"/>
    <w:rsid w:val="002D0D67"/>
    <w:rsid w:val="002E594F"/>
    <w:rsid w:val="00347D6C"/>
    <w:rsid w:val="00388B4A"/>
    <w:rsid w:val="003B3E00"/>
    <w:rsid w:val="003C2E4D"/>
    <w:rsid w:val="004226EA"/>
    <w:rsid w:val="00426F26"/>
    <w:rsid w:val="004309EF"/>
    <w:rsid w:val="00445520"/>
    <w:rsid w:val="00486B5A"/>
    <w:rsid w:val="004A2585"/>
    <w:rsid w:val="004A525F"/>
    <w:rsid w:val="004A6004"/>
    <w:rsid w:val="004B1D2E"/>
    <w:rsid w:val="004C4EE2"/>
    <w:rsid w:val="004C7D79"/>
    <w:rsid w:val="004D73BA"/>
    <w:rsid w:val="004F5AB3"/>
    <w:rsid w:val="00501B52"/>
    <w:rsid w:val="00513B29"/>
    <w:rsid w:val="00514AB2"/>
    <w:rsid w:val="00551260"/>
    <w:rsid w:val="005C0D93"/>
    <w:rsid w:val="005C73C4"/>
    <w:rsid w:val="005D5CE7"/>
    <w:rsid w:val="005E696E"/>
    <w:rsid w:val="006578FF"/>
    <w:rsid w:val="006832D1"/>
    <w:rsid w:val="00685EEB"/>
    <w:rsid w:val="006A399E"/>
    <w:rsid w:val="006E2D75"/>
    <w:rsid w:val="006EE648"/>
    <w:rsid w:val="006F2E0C"/>
    <w:rsid w:val="006F2FAC"/>
    <w:rsid w:val="00706766"/>
    <w:rsid w:val="00742399"/>
    <w:rsid w:val="00752E15"/>
    <w:rsid w:val="00755B88"/>
    <w:rsid w:val="00783374"/>
    <w:rsid w:val="007F0B9D"/>
    <w:rsid w:val="0080A41D"/>
    <w:rsid w:val="008403F9"/>
    <w:rsid w:val="008549F5"/>
    <w:rsid w:val="00860A40"/>
    <w:rsid w:val="00871929"/>
    <w:rsid w:val="00880991"/>
    <w:rsid w:val="00887004"/>
    <w:rsid w:val="008955B2"/>
    <w:rsid w:val="008B6415"/>
    <w:rsid w:val="008E4DEA"/>
    <w:rsid w:val="008E5DCD"/>
    <w:rsid w:val="00916709"/>
    <w:rsid w:val="00927557"/>
    <w:rsid w:val="00955930"/>
    <w:rsid w:val="009D5FC4"/>
    <w:rsid w:val="00A325FE"/>
    <w:rsid w:val="00A70F05"/>
    <w:rsid w:val="00A83C39"/>
    <w:rsid w:val="00A853F6"/>
    <w:rsid w:val="00A93DD0"/>
    <w:rsid w:val="00AA3DE4"/>
    <w:rsid w:val="00AA4B95"/>
    <w:rsid w:val="00AA60C8"/>
    <w:rsid w:val="00AB46B1"/>
    <w:rsid w:val="00ACA972"/>
    <w:rsid w:val="00AF7223"/>
    <w:rsid w:val="00B017BB"/>
    <w:rsid w:val="00B17A03"/>
    <w:rsid w:val="00B35161"/>
    <w:rsid w:val="00B53292"/>
    <w:rsid w:val="00B7322F"/>
    <w:rsid w:val="00B9287D"/>
    <w:rsid w:val="00BA1F45"/>
    <w:rsid w:val="00BA2B76"/>
    <w:rsid w:val="00BA4EA1"/>
    <w:rsid w:val="00BA7FF1"/>
    <w:rsid w:val="00BAFDAC"/>
    <w:rsid w:val="00BD7C83"/>
    <w:rsid w:val="00BDD11B"/>
    <w:rsid w:val="00C25192"/>
    <w:rsid w:val="00C25CE4"/>
    <w:rsid w:val="00C25D05"/>
    <w:rsid w:val="00C3204B"/>
    <w:rsid w:val="00C565E5"/>
    <w:rsid w:val="00C67501"/>
    <w:rsid w:val="00C847C8"/>
    <w:rsid w:val="00CB0E22"/>
    <w:rsid w:val="00CE77F9"/>
    <w:rsid w:val="00D00A27"/>
    <w:rsid w:val="00D1503C"/>
    <w:rsid w:val="00D25F65"/>
    <w:rsid w:val="00D342D6"/>
    <w:rsid w:val="00D53E43"/>
    <w:rsid w:val="00D61FCB"/>
    <w:rsid w:val="00D6757F"/>
    <w:rsid w:val="00D708A6"/>
    <w:rsid w:val="00D90094"/>
    <w:rsid w:val="00DF3629"/>
    <w:rsid w:val="00E55688"/>
    <w:rsid w:val="00E972AD"/>
    <w:rsid w:val="00EB1565"/>
    <w:rsid w:val="00EB7FE1"/>
    <w:rsid w:val="00ED583B"/>
    <w:rsid w:val="00ED6774"/>
    <w:rsid w:val="00EF531E"/>
    <w:rsid w:val="00F04E56"/>
    <w:rsid w:val="00F27A53"/>
    <w:rsid w:val="00F303C9"/>
    <w:rsid w:val="00F538AF"/>
    <w:rsid w:val="00F72E0D"/>
    <w:rsid w:val="00FD29A7"/>
    <w:rsid w:val="00FE7510"/>
    <w:rsid w:val="014988C9"/>
    <w:rsid w:val="01BA1CCB"/>
    <w:rsid w:val="01C082C4"/>
    <w:rsid w:val="01F0573E"/>
    <w:rsid w:val="01F96549"/>
    <w:rsid w:val="022A70CA"/>
    <w:rsid w:val="02990B46"/>
    <w:rsid w:val="02C6FF24"/>
    <w:rsid w:val="031133E0"/>
    <w:rsid w:val="034E367D"/>
    <w:rsid w:val="03AE3F50"/>
    <w:rsid w:val="0454E1B1"/>
    <w:rsid w:val="049AC35B"/>
    <w:rsid w:val="04FA6FD2"/>
    <w:rsid w:val="051FEB87"/>
    <w:rsid w:val="0545BE63"/>
    <w:rsid w:val="055BB3C1"/>
    <w:rsid w:val="0597CF32"/>
    <w:rsid w:val="05BA711E"/>
    <w:rsid w:val="067AA128"/>
    <w:rsid w:val="06ECC797"/>
    <w:rsid w:val="070E6A26"/>
    <w:rsid w:val="07160D76"/>
    <w:rsid w:val="0744297B"/>
    <w:rsid w:val="075C998A"/>
    <w:rsid w:val="07C353AA"/>
    <w:rsid w:val="087040DC"/>
    <w:rsid w:val="08A88B05"/>
    <w:rsid w:val="08C39B7E"/>
    <w:rsid w:val="08F106EA"/>
    <w:rsid w:val="08FDD0F5"/>
    <w:rsid w:val="092ECA30"/>
    <w:rsid w:val="09D15F33"/>
    <w:rsid w:val="09F36C9F"/>
    <w:rsid w:val="0A1C7083"/>
    <w:rsid w:val="0A1CDA4C"/>
    <w:rsid w:val="0A20B8E1"/>
    <w:rsid w:val="0A48E303"/>
    <w:rsid w:val="0A80A14E"/>
    <w:rsid w:val="0A8552D2"/>
    <w:rsid w:val="0AA244BF"/>
    <w:rsid w:val="0AD38843"/>
    <w:rsid w:val="0ADED406"/>
    <w:rsid w:val="0AE3F4DE"/>
    <w:rsid w:val="0B32735B"/>
    <w:rsid w:val="0B4BCC9B"/>
    <w:rsid w:val="0B7ADCDD"/>
    <w:rsid w:val="0BB54BD3"/>
    <w:rsid w:val="0BC9E125"/>
    <w:rsid w:val="0C048AAC"/>
    <w:rsid w:val="0C8D3634"/>
    <w:rsid w:val="0CD5FB32"/>
    <w:rsid w:val="0CFC85BC"/>
    <w:rsid w:val="0D4E9AD7"/>
    <w:rsid w:val="0DBD79FE"/>
    <w:rsid w:val="0DCD0509"/>
    <w:rsid w:val="0DE003CB"/>
    <w:rsid w:val="0E223A1D"/>
    <w:rsid w:val="0E6D1EF7"/>
    <w:rsid w:val="0EABBEE2"/>
    <w:rsid w:val="0EB2863A"/>
    <w:rsid w:val="0F51C27B"/>
    <w:rsid w:val="0F97BA55"/>
    <w:rsid w:val="10031612"/>
    <w:rsid w:val="10968AF0"/>
    <w:rsid w:val="10FDFB43"/>
    <w:rsid w:val="11065D6B"/>
    <w:rsid w:val="1130A66D"/>
    <w:rsid w:val="1142A136"/>
    <w:rsid w:val="118195B8"/>
    <w:rsid w:val="119404C2"/>
    <w:rsid w:val="11943724"/>
    <w:rsid w:val="1202A3DC"/>
    <w:rsid w:val="120C2CCD"/>
    <w:rsid w:val="125691AE"/>
    <w:rsid w:val="128777B9"/>
    <w:rsid w:val="128CA106"/>
    <w:rsid w:val="12A52987"/>
    <w:rsid w:val="12D7B064"/>
    <w:rsid w:val="12F8419D"/>
    <w:rsid w:val="1314E921"/>
    <w:rsid w:val="13540B02"/>
    <w:rsid w:val="135458BF"/>
    <w:rsid w:val="135658E5"/>
    <w:rsid w:val="1393ED88"/>
    <w:rsid w:val="13C9578F"/>
    <w:rsid w:val="142A70B5"/>
    <w:rsid w:val="1473857A"/>
    <w:rsid w:val="14AED900"/>
    <w:rsid w:val="1533D1CF"/>
    <w:rsid w:val="153565DB"/>
    <w:rsid w:val="15A814B9"/>
    <w:rsid w:val="15D392AA"/>
    <w:rsid w:val="165D3E33"/>
    <w:rsid w:val="17A6634A"/>
    <w:rsid w:val="183AE724"/>
    <w:rsid w:val="1882BF3E"/>
    <w:rsid w:val="18C0AB0B"/>
    <w:rsid w:val="18CE0FD3"/>
    <w:rsid w:val="18DC71D5"/>
    <w:rsid w:val="18FAF86F"/>
    <w:rsid w:val="19BF8BB3"/>
    <w:rsid w:val="19EFCD45"/>
    <w:rsid w:val="1A058458"/>
    <w:rsid w:val="1A1A5CF0"/>
    <w:rsid w:val="1A3CF785"/>
    <w:rsid w:val="1A5B5C89"/>
    <w:rsid w:val="1A63ED21"/>
    <w:rsid w:val="1AE16EEF"/>
    <w:rsid w:val="1B0216F6"/>
    <w:rsid w:val="1B3830F5"/>
    <w:rsid w:val="1B670B70"/>
    <w:rsid w:val="1B7898C8"/>
    <w:rsid w:val="1B97F256"/>
    <w:rsid w:val="1BAF4B84"/>
    <w:rsid w:val="1C1ED7E8"/>
    <w:rsid w:val="1C6D0A3E"/>
    <w:rsid w:val="1C8016FF"/>
    <w:rsid w:val="1D260631"/>
    <w:rsid w:val="1D5210B0"/>
    <w:rsid w:val="1D586036"/>
    <w:rsid w:val="1D6970CE"/>
    <w:rsid w:val="1D7654C8"/>
    <w:rsid w:val="1D828D1F"/>
    <w:rsid w:val="1DD3DB77"/>
    <w:rsid w:val="1E5F82C4"/>
    <w:rsid w:val="1E6AF20A"/>
    <w:rsid w:val="1E9F8748"/>
    <w:rsid w:val="1F69F36E"/>
    <w:rsid w:val="1F9A1589"/>
    <w:rsid w:val="1FF6D790"/>
    <w:rsid w:val="1FF87585"/>
    <w:rsid w:val="1FF90B3C"/>
    <w:rsid w:val="2001AEE7"/>
    <w:rsid w:val="200F2A26"/>
    <w:rsid w:val="2065872C"/>
    <w:rsid w:val="2078AB4A"/>
    <w:rsid w:val="208FFA81"/>
    <w:rsid w:val="20D514B8"/>
    <w:rsid w:val="20F3443D"/>
    <w:rsid w:val="21085259"/>
    <w:rsid w:val="213E0970"/>
    <w:rsid w:val="214C0ED4"/>
    <w:rsid w:val="217D1F95"/>
    <w:rsid w:val="2246D7EB"/>
    <w:rsid w:val="224861B9"/>
    <w:rsid w:val="227A296C"/>
    <w:rsid w:val="22BE40B9"/>
    <w:rsid w:val="22F9DF9A"/>
    <w:rsid w:val="230505AB"/>
    <w:rsid w:val="2352012D"/>
    <w:rsid w:val="23578FD5"/>
    <w:rsid w:val="23633941"/>
    <w:rsid w:val="23F465EB"/>
    <w:rsid w:val="23F63DDD"/>
    <w:rsid w:val="2429CC2C"/>
    <w:rsid w:val="244F2C98"/>
    <w:rsid w:val="252D55F9"/>
    <w:rsid w:val="257805AA"/>
    <w:rsid w:val="259E063F"/>
    <w:rsid w:val="25D432CC"/>
    <w:rsid w:val="267D9D14"/>
    <w:rsid w:val="271D1B8F"/>
    <w:rsid w:val="27262655"/>
    <w:rsid w:val="277243E4"/>
    <w:rsid w:val="2773841C"/>
    <w:rsid w:val="2786670E"/>
    <w:rsid w:val="2798F186"/>
    <w:rsid w:val="27A60538"/>
    <w:rsid w:val="27CCA3C4"/>
    <w:rsid w:val="28A5ED7D"/>
    <w:rsid w:val="28D784E3"/>
    <w:rsid w:val="28DF8C2E"/>
    <w:rsid w:val="29144C68"/>
    <w:rsid w:val="2943D8EE"/>
    <w:rsid w:val="29541E26"/>
    <w:rsid w:val="2963D5CC"/>
    <w:rsid w:val="29687425"/>
    <w:rsid w:val="29ADE6EF"/>
    <w:rsid w:val="29AF8401"/>
    <w:rsid w:val="29AFD538"/>
    <w:rsid w:val="29B38BA4"/>
    <w:rsid w:val="29D8985B"/>
    <w:rsid w:val="2A296156"/>
    <w:rsid w:val="2A29B485"/>
    <w:rsid w:val="2A50B1D7"/>
    <w:rsid w:val="2B0ACB69"/>
    <w:rsid w:val="2B4AF140"/>
    <w:rsid w:val="2B4B094D"/>
    <w:rsid w:val="2B584F8C"/>
    <w:rsid w:val="2B7214F9"/>
    <w:rsid w:val="2BB690E4"/>
    <w:rsid w:val="2BBA9AED"/>
    <w:rsid w:val="2C4D3B73"/>
    <w:rsid w:val="2C80983D"/>
    <w:rsid w:val="2C86E0CD"/>
    <w:rsid w:val="2D12DA5C"/>
    <w:rsid w:val="2DF5F0BE"/>
    <w:rsid w:val="2E2990EC"/>
    <w:rsid w:val="2E6CFE51"/>
    <w:rsid w:val="2EDC4472"/>
    <w:rsid w:val="2F5E29A8"/>
    <w:rsid w:val="2F914879"/>
    <w:rsid w:val="2F940668"/>
    <w:rsid w:val="30156163"/>
    <w:rsid w:val="3026ED4B"/>
    <w:rsid w:val="302BD363"/>
    <w:rsid w:val="3037909C"/>
    <w:rsid w:val="303DD4E4"/>
    <w:rsid w:val="3079A03F"/>
    <w:rsid w:val="3101214A"/>
    <w:rsid w:val="315688CB"/>
    <w:rsid w:val="3170517A"/>
    <w:rsid w:val="31E7602A"/>
    <w:rsid w:val="321F6F43"/>
    <w:rsid w:val="32AEC7D9"/>
    <w:rsid w:val="32B39AE9"/>
    <w:rsid w:val="330F566B"/>
    <w:rsid w:val="334461B6"/>
    <w:rsid w:val="3356A858"/>
    <w:rsid w:val="3358E605"/>
    <w:rsid w:val="3367AEAB"/>
    <w:rsid w:val="33767645"/>
    <w:rsid w:val="33F4D53C"/>
    <w:rsid w:val="34017696"/>
    <w:rsid w:val="342BE822"/>
    <w:rsid w:val="343701CD"/>
    <w:rsid w:val="344BB56C"/>
    <w:rsid w:val="34982164"/>
    <w:rsid w:val="34B1CD1D"/>
    <w:rsid w:val="34BC18B6"/>
    <w:rsid w:val="34C18FE6"/>
    <w:rsid w:val="356DDF09"/>
    <w:rsid w:val="359A3AF6"/>
    <w:rsid w:val="35BA0B35"/>
    <w:rsid w:val="35C25AD9"/>
    <w:rsid w:val="35EC6296"/>
    <w:rsid w:val="36091378"/>
    <w:rsid w:val="369C5A66"/>
    <w:rsid w:val="36E68219"/>
    <w:rsid w:val="36ED51D2"/>
    <w:rsid w:val="36FAA62F"/>
    <w:rsid w:val="3768C8F8"/>
    <w:rsid w:val="37763A94"/>
    <w:rsid w:val="3779232E"/>
    <w:rsid w:val="37A64068"/>
    <w:rsid w:val="387A3C13"/>
    <w:rsid w:val="38BB5275"/>
    <w:rsid w:val="38BCB810"/>
    <w:rsid w:val="396D19F8"/>
    <w:rsid w:val="39E89FED"/>
    <w:rsid w:val="3A7677E0"/>
    <w:rsid w:val="3AB6211D"/>
    <w:rsid w:val="3AC3CED0"/>
    <w:rsid w:val="3AF9784F"/>
    <w:rsid w:val="3B5ABE50"/>
    <w:rsid w:val="3B797665"/>
    <w:rsid w:val="3B888A01"/>
    <w:rsid w:val="3BA6CABF"/>
    <w:rsid w:val="3C4F57CE"/>
    <w:rsid w:val="3C6446EC"/>
    <w:rsid w:val="3CE7E177"/>
    <w:rsid w:val="3CF83A48"/>
    <w:rsid w:val="3D4A6940"/>
    <w:rsid w:val="3D5D514A"/>
    <w:rsid w:val="3E037BC0"/>
    <w:rsid w:val="3E25FF20"/>
    <w:rsid w:val="3E5005AE"/>
    <w:rsid w:val="3EAD6C77"/>
    <w:rsid w:val="3F22F859"/>
    <w:rsid w:val="3F7F95AD"/>
    <w:rsid w:val="400670B9"/>
    <w:rsid w:val="40362461"/>
    <w:rsid w:val="40535A38"/>
    <w:rsid w:val="405BB705"/>
    <w:rsid w:val="405FF806"/>
    <w:rsid w:val="407D01AF"/>
    <w:rsid w:val="408A185E"/>
    <w:rsid w:val="408EF1E9"/>
    <w:rsid w:val="414452C3"/>
    <w:rsid w:val="416849DA"/>
    <w:rsid w:val="41CF3FD2"/>
    <w:rsid w:val="41E8D5E5"/>
    <w:rsid w:val="41E8FD4F"/>
    <w:rsid w:val="4200F668"/>
    <w:rsid w:val="4205BE46"/>
    <w:rsid w:val="42159BE2"/>
    <w:rsid w:val="424F8AF1"/>
    <w:rsid w:val="42589C6D"/>
    <w:rsid w:val="4279E432"/>
    <w:rsid w:val="429312B6"/>
    <w:rsid w:val="42939ADB"/>
    <w:rsid w:val="429DCEBB"/>
    <w:rsid w:val="42FF8CBF"/>
    <w:rsid w:val="43179CB8"/>
    <w:rsid w:val="4378852E"/>
    <w:rsid w:val="437F6602"/>
    <w:rsid w:val="43E5CB4D"/>
    <w:rsid w:val="43F04D79"/>
    <w:rsid w:val="443CD939"/>
    <w:rsid w:val="446326BB"/>
    <w:rsid w:val="4512CB6E"/>
    <w:rsid w:val="4529E60E"/>
    <w:rsid w:val="452D5F4F"/>
    <w:rsid w:val="45426CD0"/>
    <w:rsid w:val="45498E9B"/>
    <w:rsid w:val="457C63DB"/>
    <w:rsid w:val="4587F2EC"/>
    <w:rsid w:val="45B7A63A"/>
    <w:rsid w:val="45D3A866"/>
    <w:rsid w:val="462FEE7B"/>
    <w:rsid w:val="464A7847"/>
    <w:rsid w:val="4676F193"/>
    <w:rsid w:val="467AE83B"/>
    <w:rsid w:val="46811978"/>
    <w:rsid w:val="469E7435"/>
    <w:rsid w:val="46C06207"/>
    <w:rsid w:val="46E02425"/>
    <w:rsid w:val="471B621F"/>
    <w:rsid w:val="4731F383"/>
    <w:rsid w:val="473F06FC"/>
    <w:rsid w:val="47A398E4"/>
    <w:rsid w:val="47AEF1AB"/>
    <w:rsid w:val="481EA266"/>
    <w:rsid w:val="481F9ED7"/>
    <w:rsid w:val="489112E2"/>
    <w:rsid w:val="48E040F8"/>
    <w:rsid w:val="49055E04"/>
    <w:rsid w:val="490C51F6"/>
    <w:rsid w:val="496B370E"/>
    <w:rsid w:val="49A0792B"/>
    <w:rsid w:val="49EC93A8"/>
    <w:rsid w:val="4A06BF34"/>
    <w:rsid w:val="4A6B4834"/>
    <w:rsid w:val="4AD4657F"/>
    <w:rsid w:val="4ADE440C"/>
    <w:rsid w:val="4AF4750B"/>
    <w:rsid w:val="4B93FF11"/>
    <w:rsid w:val="4B9B9582"/>
    <w:rsid w:val="4CA52143"/>
    <w:rsid w:val="4CBBC4E9"/>
    <w:rsid w:val="4CE674BC"/>
    <w:rsid w:val="4D5E1D8B"/>
    <w:rsid w:val="4D6347C4"/>
    <w:rsid w:val="4D6D6F95"/>
    <w:rsid w:val="4D7D1D99"/>
    <w:rsid w:val="4E0C325D"/>
    <w:rsid w:val="4E4E753D"/>
    <w:rsid w:val="4E70704A"/>
    <w:rsid w:val="4EA15E23"/>
    <w:rsid w:val="4EA877C5"/>
    <w:rsid w:val="4F4A623A"/>
    <w:rsid w:val="4FAF6034"/>
    <w:rsid w:val="4FD47E55"/>
    <w:rsid w:val="50036334"/>
    <w:rsid w:val="504343B4"/>
    <w:rsid w:val="51667875"/>
    <w:rsid w:val="51912627"/>
    <w:rsid w:val="524DAAC4"/>
    <w:rsid w:val="525298C7"/>
    <w:rsid w:val="52ABA258"/>
    <w:rsid w:val="52F6B873"/>
    <w:rsid w:val="531CCD93"/>
    <w:rsid w:val="53689FC0"/>
    <w:rsid w:val="53C70C4D"/>
    <w:rsid w:val="54A78C93"/>
    <w:rsid w:val="5538D1F9"/>
    <w:rsid w:val="5586C52C"/>
    <w:rsid w:val="55B33FD2"/>
    <w:rsid w:val="55D8D8EC"/>
    <w:rsid w:val="56020CB2"/>
    <w:rsid w:val="561660F7"/>
    <w:rsid w:val="56494A9C"/>
    <w:rsid w:val="5658C465"/>
    <w:rsid w:val="565D655D"/>
    <w:rsid w:val="567EC8CC"/>
    <w:rsid w:val="56A66D5C"/>
    <w:rsid w:val="56A97EE9"/>
    <w:rsid w:val="571966D9"/>
    <w:rsid w:val="5737FD7C"/>
    <w:rsid w:val="5762ED27"/>
    <w:rsid w:val="57AD0F96"/>
    <w:rsid w:val="581E3A98"/>
    <w:rsid w:val="58551723"/>
    <w:rsid w:val="586421F9"/>
    <w:rsid w:val="586A1DBF"/>
    <w:rsid w:val="586AEFDE"/>
    <w:rsid w:val="58E29E06"/>
    <w:rsid w:val="590C985D"/>
    <w:rsid w:val="594E2E34"/>
    <w:rsid w:val="5975E531"/>
    <w:rsid w:val="59FECC10"/>
    <w:rsid w:val="5A4E3D44"/>
    <w:rsid w:val="5A7CF0D8"/>
    <w:rsid w:val="5A8029D1"/>
    <w:rsid w:val="5A804D38"/>
    <w:rsid w:val="5A915BE4"/>
    <w:rsid w:val="5AABD686"/>
    <w:rsid w:val="5AC1AC06"/>
    <w:rsid w:val="5AD36A85"/>
    <w:rsid w:val="5B42A15E"/>
    <w:rsid w:val="5B75EE0C"/>
    <w:rsid w:val="5B8A7F63"/>
    <w:rsid w:val="5BD6FFA2"/>
    <w:rsid w:val="5CB2D001"/>
    <w:rsid w:val="5CE9F470"/>
    <w:rsid w:val="5D0CE8E4"/>
    <w:rsid w:val="5D5D3AB2"/>
    <w:rsid w:val="5DC370DB"/>
    <w:rsid w:val="5DE8BCC7"/>
    <w:rsid w:val="5DFF730A"/>
    <w:rsid w:val="5E9BEA34"/>
    <w:rsid w:val="5EF9AA6D"/>
    <w:rsid w:val="5F04FBE0"/>
    <w:rsid w:val="5F13606E"/>
    <w:rsid w:val="5F2B9550"/>
    <w:rsid w:val="5F43E632"/>
    <w:rsid w:val="5F48CFE6"/>
    <w:rsid w:val="5F72E77F"/>
    <w:rsid w:val="5F9E8ACB"/>
    <w:rsid w:val="5FBE07D4"/>
    <w:rsid w:val="5FCBF4E1"/>
    <w:rsid w:val="60481F41"/>
    <w:rsid w:val="607ADAA1"/>
    <w:rsid w:val="60B680BA"/>
    <w:rsid w:val="60C0C353"/>
    <w:rsid w:val="6136FEE2"/>
    <w:rsid w:val="613CAF10"/>
    <w:rsid w:val="6170CD0B"/>
    <w:rsid w:val="6196B60D"/>
    <w:rsid w:val="61D67121"/>
    <w:rsid w:val="61D8B700"/>
    <w:rsid w:val="61DCAE3E"/>
    <w:rsid w:val="61E69898"/>
    <w:rsid w:val="62009C3D"/>
    <w:rsid w:val="6209C36B"/>
    <w:rsid w:val="620FA37A"/>
    <w:rsid w:val="62AF5BD3"/>
    <w:rsid w:val="62F4EF31"/>
    <w:rsid w:val="62F78385"/>
    <w:rsid w:val="631B1762"/>
    <w:rsid w:val="6350A844"/>
    <w:rsid w:val="6387F0FC"/>
    <w:rsid w:val="638856FD"/>
    <w:rsid w:val="63E2E519"/>
    <w:rsid w:val="63E60AD9"/>
    <w:rsid w:val="63F3E8C8"/>
    <w:rsid w:val="63F62DA0"/>
    <w:rsid w:val="63F95CCC"/>
    <w:rsid w:val="63FAA860"/>
    <w:rsid w:val="64954ABD"/>
    <w:rsid w:val="64D7858D"/>
    <w:rsid w:val="65187FDF"/>
    <w:rsid w:val="6520783E"/>
    <w:rsid w:val="65255048"/>
    <w:rsid w:val="652B5C6F"/>
    <w:rsid w:val="655BE3F0"/>
    <w:rsid w:val="660F132C"/>
    <w:rsid w:val="663208AC"/>
    <w:rsid w:val="66A33C03"/>
    <w:rsid w:val="66B7E1EF"/>
    <w:rsid w:val="67364B04"/>
    <w:rsid w:val="675C5CE0"/>
    <w:rsid w:val="675F9F7C"/>
    <w:rsid w:val="675FAB09"/>
    <w:rsid w:val="6783B115"/>
    <w:rsid w:val="67DFBB16"/>
    <w:rsid w:val="68079420"/>
    <w:rsid w:val="680C6AEA"/>
    <w:rsid w:val="6838AD90"/>
    <w:rsid w:val="6863ED14"/>
    <w:rsid w:val="68F69DB6"/>
    <w:rsid w:val="68FD7A7B"/>
    <w:rsid w:val="69B44E2F"/>
    <w:rsid w:val="69C5151A"/>
    <w:rsid w:val="69E4AA4B"/>
    <w:rsid w:val="69FEF082"/>
    <w:rsid w:val="6A8E7F54"/>
    <w:rsid w:val="6A97A985"/>
    <w:rsid w:val="6AB3E920"/>
    <w:rsid w:val="6AEB5C71"/>
    <w:rsid w:val="6B62B37E"/>
    <w:rsid w:val="6BAEA6E3"/>
    <w:rsid w:val="6C1F6CEC"/>
    <w:rsid w:val="6C411EAC"/>
    <w:rsid w:val="6C6CCF9A"/>
    <w:rsid w:val="6CF4ED33"/>
    <w:rsid w:val="6D0351FE"/>
    <w:rsid w:val="6D7ED7EB"/>
    <w:rsid w:val="6D99E4EC"/>
    <w:rsid w:val="6DD7ABC6"/>
    <w:rsid w:val="6E07F308"/>
    <w:rsid w:val="6E0CBC63"/>
    <w:rsid w:val="6E10DDAE"/>
    <w:rsid w:val="6E29165C"/>
    <w:rsid w:val="6E2BFDE2"/>
    <w:rsid w:val="6E57E67E"/>
    <w:rsid w:val="6EC67CEB"/>
    <w:rsid w:val="6F0EE87B"/>
    <w:rsid w:val="6F27E7E2"/>
    <w:rsid w:val="6F4047D8"/>
    <w:rsid w:val="70F944C2"/>
    <w:rsid w:val="712A7F0C"/>
    <w:rsid w:val="713F2DEE"/>
    <w:rsid w:val="713F808C"/>
    <w:rsid w:val="7146FA2D"/>
    <w:rsid w:val="71576388"/>
    <w:rsid w:val="71806A2D"/>
    <w:rsid w:val="72570BF2"/>
    <w:rsid w:val="72A8341B"/>
    <w:rsid w:val="72E53FF1"/>
    <w:rsid w:val="7351254D"/>
    <w:rsid w:val="739E967A"/>
    <w:rsid w:val="73C89940"/>
    <w:rsid w:val="73D7BDA8"/>
    <w:rsid w:val="73D7D123"/>
    <w:rsid w:val="744E8394"/>
    <w:rsid w:val="7486D508"/>
    <w:rsid w:val="74B4650E"/>
    <w:rsid w:val="74D8E618"/>
    <w:rsid w:val="751C37DE"/>
    <w:rsid w:val="75281819"/>
    <w:rsid w:val="752E9498"/>
    <w:rsid w:val="7567B523"/>
    <w:rsid w:val="75E1BC9B"/>
    <w:rsid w:val="75F0C135"/>
    <w:rsid w:val="764DE813"/>
    <w:rsid w:val="766E3627"/>
    <w:rsid w:val="76A011A4"/>
    <w:rsid w:val="76EF2D1C"/>
    <w:rsid w:val="770C0B75"/>
    <w:rsid w:val="77610F2F"/>
    <w:rsid w:val="776A6858"/>
    <w:rsid w:val="77B6262D"/>
    <w:rsid w:val="7800D14C"/>
    <w:rsid w:val="78021FB7"/>
    <w:rsid w:val="787A8996"/>
    <w:rsid w:val="7885E304"/>
    <w:rsid w:val="78A2F17D"/>
    <w:rsid w:val="79335B16"/>
    <w:rsid w:val="793EBF90"/>
    <w:rsid w:val="7948C4C5"/>
    <w:rsid w:val="795724FA"/>
    <w:rsid w:val="79654D28"/>
    <w:rsid w:val="797D2F14"/>
    <w:rsid w:val="79DB9C1E"/>
    <w:rsid w:val="7A8928D0"/>
    <w:rsid w:val="7B92C2CD"/>
    <w:rsid w:val="7BAB8A6A"/>
    <w:rsid w:val="7BCF3C65"/>
    <w:rsid w:val="7BD5B5CF"/>
    <w:rsid w:val="7BDD5E29"/>
    <w:rsid w:val="7C4A18FC"/>
    <w:rsid w:val="7C7F5FB1"/>
    <w:rsid w:val="7CAC16EB"/>
    <w:rsid w:val="7CAE4FE0"/>
    <w:rsid w:val="7CBB7CD6"/>
    <w:rsid w:val="7CCB4237"/>
    <w:rsid w:val="7D38D8C8"/>
    <w:rsid w:val="7DE0D030"/>
    <w:rsid w:val="7DE99A7D"/>
    <w:rsid w:val="7E06F41A"/>
    <w:rsid w:val="7E08B9E7"/>
    <w:rsid w:val="7E946791"/>
    <w:rsid w:val="7EA2109B"/>
    <w:rsid w:val="7FD8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2B5213"/>
  <w15:docId w15:val="{5B4C10B3-9B87-4032-9223-E296BF84E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0924A0"/>
    <w:rPr>
      <w:b/>
      <w:bCs/>
    </w:rPr>
  </w:style>
  <w:style w:type="character" w:customStyle="1" w:styleId="CommentSubjectChar">
    <w:name w:val="Comment Subject Char"/>
    <w:basedOn w:val="CommentTextChar"/>
    <w:link w:val="CommentSubject"/>
    <w:uiPriority w:val="99"/>
    <w:semiHidden/>
    <w:rsid w:val="000924A0"/>
    <w:rPr>
      <w:b/>
      <w:bCs/>
      <w:sz w:val="20"/>
      <w:szCs w:val="20"/>
    </w:rPr>
  </w:style>
  <w:style w:type="paragraph" w:styleId="Header">
    <w:name w:val="header"/>
    <w:basedOn w:val="Normal"/>
    <w:link w:val="HeaderChar"/>
    <w:uiPriority w:val="99"/>
    <w:unhideWhenUsed/>
    <w:rsid w:val="000520C7"/>
    <w:pPr>
      <w:tabs>
        <w:tab w:val="center" w:pos="4680"/>
        <w:tab w:val="right" w:pos="9360"/>
      </w:tabs>
      <w:spacing w:line="240" w:lineRule="auto"/>
    </w:pPr>
  </w:style>
  <w:style w:type="character" w:customStyle="1" w:styleId="HeaderChar">
    <w:name w:val="Header Char"/>
    <w:basedOn w:val="DefaultParagraphFont"/>
    <w:link w:val="Header"/>
    <w:uiPriority w:val="99"/>
    <w:rsid w:val="000520C7"/>
  </w:style>
  <w:style w:type="paragraph" w:styleId="Footer">
    <w:name w:val="footer"/>
    <w:basedOn w:val="Normal"/>
    <w:link w:val="FooterChar"/>
    <w:uiPriority w:val="99"/>
    <w:unhideWhenUsed/>
    <w:rsid w:val="000520C7"/>
    <w:pPr>
      <w:tabs>
        <w:tab w:val="center" w:pos="4680"/>
        <w:tab w:val="right" w:pos="9360"/>
      </w:tabs>
      <w:spacing w:line="240" w:lineRule="auto"/>
    </w:pPr>
  </w:style>
  <w:style w:type="character" w:customStyle="1" w:styleId="FooterChar">
    <w:name w:val="Footer Char"/>
    <w:basedOn w:val="DefaultParagraphFont"/>
    <w:link w:val="Footer"/>
    <w:uiPriority w:val="99"/>
    <w:rsid w:val="000520C7"/>
  </w:style>
  <w:style w:type="paragraph" w:styleId="ListParagraph">
    <w:name w:val="List Paragraph"/>
    <w:basedOn w:val="Normal"/>
    <w:uiPriority w:val="34"/>
    <w:qFormat/>
    <w:rsid w:val="00513B29"/>
    <w:pPr>
      <w:ind w:left="720"/>
      <w:contextualSpacing/>
    </w:p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F538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indianarecoverynetwork.org/recovery-community-organization-certificatio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0DAAAEDF-F0CE-4B6E-8AB3-80910A07B8DD}">
    <t:Anchor>
      <t:Comment id="1675505316"/>
    </t:Anchor>
    <t:History>
      <t:Event id="{2D6F0B37-4385-4079-8C09-FAD4AE5D8479}" time="2024-07-15T15:52:33.844Z">
        <t:Attribution userId="S::nicholas.burt@fssa.in.gov::72faf0b6-ac7c-46cb-b7ad-9a4121e4dbcb" userProvider="AD" userName="Burt, Nicholas"/>
        <t:Anchor>
          <t:Comment id="362763234"/>
        </t:Anchor>
        <t:Create/>
      </t:Event>
      <t:Event id="{2813F7C3-89AC-4EE9-BA2F-394E62CF70BA}" time="2024-07-15T15:52:33.844Z">
        <t:Attribution userId="S::nicholas.burt@fssa.in.gov::72faf0b6-ac7c-46cb-b7ad-9a4121e4dbcb" userProvider="AD" userName="Burt, Nicholas"/>
        <t:Anchor>
          <t:Comment id="362763234"/>
        </t:Anchor>
        <t:Assign userId="S::Nicholas.Burt@fssa.IN.gov::72faf0b6-ac7c-46cb-b7ad-9a4121e4dbcb" userProvider="AD" userName="Burt, Nicholas"/>
      </t:Event>
      <t:Event id="{11AF32FF-EF6D-4B4E-A644-3E71BB8847F7}" time="2024-07-15T15:52:33.844Z">
        <t:Attribution userId="S::nicholas.burt@fssa.in.gov::72faf0b6-ac7c-46cb-b7ad-9a4121e4dbcb" userProvider="AD" userName="Burt, Nicholas"/>
        <t:Anchor>
          <t:Comment id="362763234"/>
        </t:Anchor>
        <t:SetTitle title="@Burt, Nicholas remove question from technical proposal"/>
      </t:Event>
    </t:History>
  </t:Task>
  <t:Task id="{46535335-DDF0-42B1-ADA2-C0EF96230043}">
    <t:Anchor>
      <t:Comment id="1612043265"/>
    </t:Anchor>
    <t:History>
      <t:Event id="{EFB98E48-B5B0-4BD1-BE2C-F78FBBDCE5F7}" time="2024-07-18T15:21:35.982Z">
        <t:Attribution userId="S::Matthew.Lewis@fssa.IN.gov::3dbb61b0-46fc-4628-bcaf-66555c963a0e" userProvider="AD" userName="Lewis, Matthew I"/>
        <t:Anchor>
          <t:Comment id="1669960705"/>
        </t:Anchor>
        <t:Create/>
      </t:Event>
      <t:Event id="{DAB71F81-E852-4EC9-9987-91EA8D4679AB}" time="2024-07-18T15:21:35.982Z">
        <t:Attribution userId="S::Matthew.Lewis@fssa.IN.gov::3dbb61b0-46fc-4628-bcaf-66555c963a0e" userProvider="AD" userName="Lewis, Matthew I"/>
        <t:Anchor>
          <t:Comment id="1669960705"/>
        </t:Anchor>
        <t:Assign userId="S::Danica.Fultz@fssa.IN.gov::0a23e343-d8df-4674-b581-398096c58b90" userProvider="AD" userName="Fultz, Danica"/>
      </t:Event>
      <t:Event id="{53D05DF6-3E61-45A5-AC2D-5E57C0FD201D}" time="2024-07-18T15:21:35.982Z">
        <t:Attribution userId="S::Matthew.Lewis@fssa.IN.gov::3dbb61b0-46fc-4628-bcaf-66555c963a0e" userProvider="AD" userName="Lewis, Matthew I"/>
        <t:Anchor>
          <t:Comment id="1669960705"/>
        </t:Anchor>
        <t:SetTitle title="@Fultz, Danica Hi Danica! Could you see if Nick’s pass at new “goal” language fits the bill? We’re happy to work through more edits/rewording"/>
      </t:Event>
      <t:Event id="{A3A891C3-79C0-4E70-99EE-F1D7B641052D}" time="2024-07-19T14:41:57.539Z">
        <t:Attribution userId="S::nicholas.burt@fssa.in.gov::72faf0b6-ac7c-46cb-b7ad-9a4121e4dbcb" userProvider="AD" userName="Burt, Nicholas"/>
        <t:Progress percentComplete="100"/>
      </t:Event>
    </t:History>
  </t:Task>
  <t:Task id="{FE3AAA26-7482-497D-B0CF-09643AA1C4C2}">
    <t:Anchor>
      <t:Comment id="1804156966"/>
    </t:Anchor>
    <t:History>
      <t:Event id="{B73EEED8-592D-45BA-A599-3AC29AE73B24}" time="2024-07-18T15:39:28.538Z">
        <t:Attribution userId="S::Matthew.Lewis@fssa.IN.gov::3dbb61b0-46fc-4628-bcaf-66555c963a0e" userProvider="AD" userName="Lewis, Matthew I"/>
        <t:Anchor>
          <t:Comment id="394357683"/>
        </t:Anchor>
        <t:Create/>
      </t:Event>
      <t:Event id="{DB895426-5180-4C01-BC5D-AB9CE7F3F2BF}" time="2024-07-18T15:39:28.538Z">
        <t:Attribution userId="S::Matthew.Lewis@fssa.IN.gov::3dbb61b0-46fc-4628-bcaf-66555c963a0e" userProvider="AD" userName="Lewis, Matthew I"/>
        <t:Anchor>
          <t:Comment id="394357683"/>
        </t:Anchor>
        <t:Assign userId="S::Danica.Fultz@fssa.IN.gov::0a23e343-d8df-4674-b581-398096c58b90" userProvider="AD" userName="Fultz, Danica"/>
      </t:Event>
      <t:Event id="{694FF515-4DA3-43D5-B5F9-EA9351FE37F6}" time="2024-07-18T15:39:28.538Z">
        <t:Attribution userId="S::Matthew.Lewis@fssa.IN.gov::3dbb61b0-46fc-4628-bcaf-66555c963a0e" userProvider="AD" userName="Lewis, Matthew I"/>
        <t:Anchor>
          <t:Comment id="394357683"/>
        </t:Anchor>
        <t:SetTitle title="@Fultz, Danica we’ve given you the right to change what’s in the report but left in the data points as a starting point to use unless you change them.If you know these data points are nonstarters we can replace them if you have something better, but I’d…"/>
      </t:Event>
      <t:Event id="{42DC2D2F-87D4-431A-8264-726AD5020D53}" time="2024-07-19T14:42:27.138Z">
        <t:Attribution userId="S::nicholas.burt@fssa.in.gov::72faf0b6-ac7c-46cb-b7ad-9a4121e4dbcb" userProvider="AD" userName="Burt, Nichola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952D017E73DC4FAB4C526FC5B59170" ma:contentTypeVersion="12" ma:contentTypeDescription="Create a new document." ma:contentTypeScope="" ma:versionID="7465f7f96669a73f4d6663301e977f06">
  <xsd:schema xmlns:xsd="http://www.w3.org/2001/XMLSchema" xmlns:xs="http://www.w3.org/2001/XMLSchema" xmlns:p="http://schemas.microsoft.com/office/2006/metadata/properties" xmlns:ns2="a7b3e8fb-254f-4959-803e-70cfbe001e32" xmlns:ns3="59d433ac-c834-4754-9934-03f2634255a0" xmlns:ns4="ddb5066c-6899-482b-9ea0-5145f9da9989" targetNamespace="http://schemas.microsoft.com/office/2006/metadata/properties" ma:root="true" ma:fieldsID="0fcf488152e8c73427fa3485cf5b9687" ns2:_="" ns3:_="" ns4:_="">
    <xsd:import namespace="a7b3e8fb-254f-4959-803e-70cfbe001e32"/>
    <xsd:import namespace="59d433ac-c834-4754-9934-03f2634255a0"/>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3e8fb-254f-4959-803e-70cfbe001e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d433ac-c834-4754-9934-03f2634255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6624d1c-a557-43fa-a6e8-04eb3661cab3}" ma:internalName="TaxCatchAll" ma:showField="CatchAllData" ma:web="59d433ac-c834-4754-9934-03f2634255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b3e8fb-254f-4959-803e-70cfbe001e32">
      <Terms xmlns="http://schemas.microsoft.com/office/infopath/2007/PartnerControls"/>
    </lcf76f155ced4ddcb4097134ff3c332f>
    <TaxCatchAll xmlns="ddb5066c-6899-482b-9ea0-5145f9da9989" xsi:nil="true"/>
  </documentManagement>
</p:properties>
</file>

<file path=customXml/itemProps1.xml><?xml version="1.0" encoding="utf-8"?>
<ds:datastoreItem xmlns:ds="http://schemas.openxmlformats.org/officeDocument/2006/customXml" ds:itemID="{5A093ED4-D937-42FD-BAC3-F0B1B0EF4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3e8fb-254f-4959-803e-70cfbe001e32"/>
    <ds:schemaRef ds:uri="59d433ac-c834-4754-9934-03f2634255a0"/>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E01140-0A83-484A-AB67-DDF4A2576899}">
  <ds:schemaRefs>
    <ds:schemaRef ds:uri="http://schemas.microsoft.com/sharepoint/v3/contenttype/forms"/>
  </ds:schemaRefs>
</ds:datastoreItem>
</file>

<file path=customXml/itemProps3.xml><?xml version="1.0" encoding="utf-8"?>
<ds:datastoreItem xmlns:ds="http://schemas.openxmlformats.org/officeDocument/2006/customXml" ds:itemID="{D7EF107A-7EE2-4AAF-A9FB-4A5EDB1F6808}">
  <ds:schemaRefs>
    <ds:schemaRef ds:uri="http://schemas.microsoft.com/office/2006/metadata/properties"/>
    <ds:schemaRef ds:uri="http://schemas.microsoft.com/office/infopath/2007/PartnerControls"/>
    <ds:schemaRef ds:uri="a7b3e8fb-254f-4959-803e-70cfbe001e32"/>
    <ds:schemaRef ds:uri="ddb5066c-6899-482b-9ea0-5145f9da998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3388</Words>
  <Characters>19315</Characters>
  <Application>Microsoft Office Word</Application>
  <DocSecurity>0</DocSecurity>
  <Lines>160</Lines>
  <Paragraphs>45</Paragraphs>
  <ScaleCrop>false</ScaleCrop>
  <Company/>
  <LinksUpToDate>false</LinksUpToDate>
  <CharactersWithSpaces>22658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Lewis</dc:creator>
  <cp:keywords/>
  <cp:lastModifiedBy>Brittany Stout</cp:lastModifiedBy>
  <cp:revision>2</cp:revision>
  <dcterms:created xsi:type="dcterms:W3CDTF">2024-08-07T17:33:00Z</dcterms:created>
  <dcterms:modified xsi:type="dcterms:W3CDTF">2024-08-07T17:33:00Z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0x010100DD952D017E73DC4FAB4C526FC5B59170</vt:lpwstr>
  </property>
  <property fmtid="{D5CDD505-2E9C-101B-9397-08002B2CF9AE}" pid="3" name="MediaServiceImageTags">
    <vt:lpwstr/>
  </property>
</Properties>
</file>